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50" w:rsidRDefault="00B83F5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hint="eastAsia"/>
          <w:b/>
          <w:sz w:val="44"/>
          <w:szCs w:val="44"/>
        </w:rPr>
      </w:pP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2020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年度龙安区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生态旅游区管委会</w:t>
      </w: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部门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预算</w:t>
      </w:r>
      <w:r>
        <w:rPr>
          <w:rFonts w:ascii="方正小标宋简体" w:eastAsia="方正小标宋简体" w:hAnsi="Times New Roman" w:hint="eastAsia"/>
          <w:b/>
          <w:sz w:val="44"/>
          <w:szCs w:val="44"/>
        </w:rPr>
        <w:t>公开说明</w:t>
      </w:r>
    </w:p>
    <w:p w:rsidR="00B83F50" w:rsidRDefault="00B83F5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44"/>
          <w:szCs w:val="44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位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</w:t>
      </w:r>
      <w:r>
        <w:rPr>
          <w:rFonts w:ascii="仿宋_GB2312" w:eastAsia="仿宋_GB2312" w:hAnsi="Times New Roman" w:hint="eastAsia"/>
          <w:sz w:val="32"/>
          <w:szCs w:val="32"/>
        </w:rPr>
        <w:t>田秀清</w:t>
      </w:r>
    </w:p>
    <w:p w:rsidR="00B83F50" w:rsidRDefault="0043328E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13837207270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负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责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人：</w:t>
      </w:r>
      <w:r>
        <w:rPr>
          <w:rFonts w:ascii="仿宋_GB2312" w:eastAsia="仿宋_GB2312" w:hAnsi="Times New Roman" w:hint="eastAsia"/>
          <w:sz w:val="32"/>
          <w:szCs w:val="32"/>
        </w:rPr>
        <w:t>李学勇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sz w:val="32"/>
          <w:szCs w:val="32"/>
        </w:rPr>
        <w:t>13849243113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开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时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间：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11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 xml:space="preserve"> </w:t>
      </w: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目录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生态旅游管委会</w:t>
      </w:r>
      <w:r>
        <w:rPr>
          <w:rFonts w:ascii="黑体" w:eastAsia="黑体" w:hAnsi="Times New Roman" w:cs="黑体" w:hint="eastAsia"/>
          <w:sz w:val="32"/>
          <w:szCs w:val="32"/>
        </w:rPr>
        <w:t>预算情况说明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附件：龙安区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生态旅游管委会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0" w:firstLine="6400"/>
        <w:rPr>
          <w:rFonts w:ascii="黑体" w:eastAsia="黑体" w:hAnsi="黑体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ind w:firstLineChars="1200" w:firstLine="38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b/>
          <w:bCs/>
          <w:sz w:val="32"/>
          <w:szCs w:val="32"/>
        </w:rPr>
        <w:t>生态旅游区管理委员会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B83F50" w:rsidRDefault="00B83F50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龙安区生态旅游区管理委员会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主要职责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（一）贯彻执行国家有关旅游区内文物和旅游资源保护的法律、法规、规章和政策。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（二）落实国家、省、市关于发展生态旅游的各项法律、法规和政策，负责对生态旅游区范围内的山水资源、人文资源等生态文化旅游资源统筹进行“统一、规划、统一建设、统一开发、统一管理”。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（三）按照龙安区全域旅游规划，负责编制生态旅游区发展战略、产业发展规划，并做好战略、规划的组织实施工作。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（四）对生态旅游区产业发展中的重大问题和热点、难点问题进行调查研究，及时提出政策建议。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（五）负责生态旅游区范围内招商引资工作。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（六）负责生态旅游区各类投资项目的协调、推进工作。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（七）负责生态旅游区内的企业服务工作。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（八）负责协调生态旅游区资源的调查、评估。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（九）负责协调生态旅游区水域的保护、管理和港航海事监管工作。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（十）负责协调保护生态旅游区内的森林、水源和自然人文景观，依法对生态旅游区范围内经营活动进行监督管理。</w:t>
      </w:r>
    </w:p>
    <w:p w:rsidR="00B83F50" w:rsidRDefault="0043328E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（十一）协助区文广</w:t>
      </w:r>
      <w:proofErr w:type="gramStart"/>
      <w:r>
        <w:rPr>
          <w:rFonts w:ascii="仿宋_GB2312" w:eastAsia="仿宋_GB2312" w:hAnsi="Times New Roman" w:cs="仿宋_GB2312" w:hint="eastAsia"/>
          <w:sz w:val="32"/>
          <w:szCs w:val="32"/>
        </w:rPr>
        <w:t>新旅局对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</w:rPr>
        <w:t>所辖区域进行文物巡查、科学保护。</w:t>
      </w:r>
    </w:p>
    <w:p w:rsidR="00B83F50" w:rsidRDefault="00B83F50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Courier New"/>
          <w:kern w:val="0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Courier New"/>
          <w:kern w:val="0"/>
          <w:sz w:val="32"/>
          <w:szCs w:val="32"/>
        </w:rPr>
      </w:pPr>
    </w:p>
    <w:p w:rsidR="00B83F50" w:rsidRDefault="00B83F5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二、龙安区</w:t>
      </w:r>
      <w:r>
        <w:rPr>
          <w:rFonts w:ascii="黑体" w:eastAsia="黑体" w:hAnsi="黑体" w:hint="eastAsia"/>
          <w:sz w:val="32"/>
          <w:szCs w:val="32"/>
        </w:rPr>
        <w:t>生态旅游区管理委员会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算单位构成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58" w:left="122" w:right="118" w:firstLineChars="162" w:firstLine="518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生态旅游区管理委员会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部门预算包括局机关本级预算和局属单位预算。</w:t>
      </w:r>
    </w:p>
    <w:p w:rsidR="00B83F50" w:rsidRDefault="00B83F50">
      <w:pPr>
        <w:kinsoku w:val="0"/>
        <w:overflowPunct w:val="0"/>
        <w:adjustRightInd w:val="0"/>
        <w:snapToGrid w:val="0"/>
        <w:spacing w:line="360" w:lineRule="auto"/>
        <w:ind w:firstLineChars="200" w:firstLine="300"/>
        <w:rPr>
          <w:rFonts w:ascii="Times New Roman" w:eastAsia="仿宋_GB2312" w:hAnsi="Times New Roman"/>
          <w:sz w:val="15"/>
          <w:szCs w:val="15"/>
        </w:rPr>
      </w:pP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、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安阳市龙安区生态旅游区管理委员会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机关本级</w:t>
      </w: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  <w:u w:val="single"/>
        </w:rPr>
      </w:pP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龙安区</w:t>
      </w:r>
      <w:r>
        <w:rPr>
          <w:rFonts w:ascii="黑体" w:eastAsia="黑体" w:hAnsi="黑体" w:hint="eastAsia"/>
          <w:b/>
          <w:bCs/>
          <w:sz w:val="32"/>
          <w:szCs w:val="32"/>
        </w:rPr>
        <w:t>生态旅游区管理委员会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B83F50" w:rsidRDefault="00B83F5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B83F50" w:rsidRDefault="00433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年相比，收入总计减少</w:t>
      </w:r>
      <w:r>
        <w:rPr>
          <w:rFonts w:ascii="仿宋_GB2312" w:eastAsia="仿宋_GB2312" w:hAnsi="宋体" w:cs="Courier New" w:hint="eastAsia"/>
          <w:sz w:val="32"/>
          <w:szCs w:val="32"/>
        </w:rPr>
        <w:t>7.07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5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；支出总计减少</w:t>
      </w:r>
      <w:r>
        <w:rPr>
          <w:rFonts w:ascii="仿宋_GB2312" w:eastAsia="仿宋_GB2312" w:hAnsi="宋体" w:cs="Courier New" w:hint="eastAsia"/>
          <w:sz w:val="32"/>
          <w:szCs w:val="32"/>
        </w:rPr>
        <w:t>7.07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5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节约经费支出，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精减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项目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B83F50" w:rsidRDefault="0043328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Ansi="Times New Roman" w:hint="eastAsia"/>
          <w:sz w:val="32"/>
          <w:szCs w:val="32"/>
        </w:rPr>
        <w:t>134.16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其中：一般公共预算</w:t>
      </w:r>
      <w:r>
        <w:rPr>
          <w:rFonts w:ascii="仿宋_GB2312" w:eastAsia="仿宋_GB2312" w:hint="eastAsia"/>
          <w:sz w:val="32"/>
          <w:szCs w:val="32"/>
        </w:rPr>
        <w:t>134.16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政府性基金收入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三、支出预算总体情况说明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100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B83F50" w:rsidRDefault="004332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年相比，一般公共预算收支预算减少</w:t>
      </w:r>
      <w:r>
        <w:rPr>
          <w:rFonts w:ascii="仿宋_GB2312" w:eastAsia="仿宋_GB2312" w:hAnsi="宋体" w:cs="Courier New" w:hint="eastAsia"/>
          <w:sz w:val="32"/>
          <w:szCs w:val="32"/>
        </w:rPr>
        <w:t>7.07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5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节约经费支出，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精减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项目</w:t>
      </w:r>
      <w:r>
        <w:rPr>
          <w:rFonts w:ascii="仿宋_GB2312" w:eastAsia="仿宋_GB2312" w:hAnsi="宋体" w:cs="Courier New" w:hint="eastAsia"/>
          <w:sz w:val="32"/>
          <w:szCs w:val="32"/>
        </w:rPr>
        <w:t>。政府性基金收支预算增加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Ansi="宋体" w:cs="Courier New" w:hint="eastAsia"/>
          <w:sz w:val="32"/>
          <w:szCs w:val="32"/>
        </w:rPr>
        <w:t>134.16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万元。主要用于以下方面：一般公共服务（类）支出</w:t>
      </w:r>
      <w:r>
        <w:rPr>
          <w:rFonts w:ascii="仿宋_GB2312" w:eastAsia="仿宋_GB2312" w:hAnsi="宋体" w:cs="Courier New" w:hint="eastAsia"/>
          <w:sz w:val="32"/>
          <w:szCs w:val="32"/>
        </w:rPr>
        <w:t>95.73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71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单位基本养老保险</w:t>
      </w:r>
      <w:r>
        <w:rPr>
          <w:rFonts w:ascii="仿宋_GB2312" w:eastAsia="仿宋_GB2312" w:hAnsi="宋体" w:cs="Courier New" w:hint="eastAsia"/>
          <w:sz w:val="32"/>
          <w:szCs w:val="32"/>
        </w:rPr>
        <w:t>14.87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11%</w:t>
      </w:r>
      <w:r>
        <w:rPr>
          <w:rFonts w:ascii="仿宋_GB2312" w:eastAsia="仿宋_GB2312" w:hAnsi="宋体" w:cs="Courier New" w:hint="eastAsia"/>
          <w:sz w:val="32"/>
          <w:szCs w:val="32"/>
        </w:rPr>
        <w:t>，其它社会</w:t>
      </w:r>
      <w:r>
        <w:rPr>
          <w:rFonts w:ascii="仿宋_GB2312" w:eastAsia="仿宋_GB2312" w:hAnsi="宋体" w:cs="Courier New" w:hint="eastAsia"/>
          <w:sz w:val="32"/>
          <w:szCs w:val="32"/>
        </w:rPr>
        <w:t>保障和就业支出</w:t>
      </w:r>
      <w:r>
        <w:rPr>
          <w:rFonts w:ascii="仿宋_GB2312" w:eastAsia="仿宋_GB2312" w:hAnsi="宋体" w:cs="Courier New" w:hint="eastAsia"/>
          <w:sz w:val="32"/>
          <w:szCs w:val="32"/>
        </w:rPr>
        <w:t>0.33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0.2%</w:t>
      </w:r>
      <w:r>
        <w:rPr>
          <w:rFonts w:ascii="仿宋_GB2312" w:eastAsia="仿宋_GB2312" w:hAnsi="宋体" w:cs="Courier New" w:hint="eastAsia"/>
          <w:sz w:val="32"/>
          <w:szCs w:val="32"/>
        </w:rPr>
        <w:t>，公务员医疗补助</w:t>
      </w:r>
      <w:r>
        <w:rPr>
          <w:rFonts w:ascii="仿宋_GB2312" w:eastAsia="仿宋_GB2312" w:hAnsi="宋体" w:cs="Courier New" w:hint="eastAsia"/>
          <w:sz w:val="32"/>
          <w:szCs w:val="32"/>
        </w:rPr>
        <w:t>5.58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4.2%</w:t>
      </w:r>
      <w:r>
        <w:rPr>
          <w:rFonts w:ascii="仿宋_GB2312" w:eastAsia="仿宋_GB2312" w:hAnsi="宋体" w:cs="Courier New" w:hint="eastAsia"/>
          <w:sz w:val="32"/>
          <w:szCs w:val="32"/>
        </w:rPr>
        <w:t>，其它行政事业单位医疗支出</w:t>
      </w:r>
      <w:r>
        <w:rPr>
          <w:rFonts w:ascii="仿宋_GB2312" w:eastAsia="仿宋_GB2312" w:hAnsi="宋体" w:cs="Courier New" w:hint="eastAsia"/>
          <w:sz w:val="32"/>
          <w:szCs w:val="32"/>
        </w:rPr>
        <w:t>6.51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4.6%</w:t>
      </w:r>
      <w:r>
        <w:rPr>
          <w:rFonts w:ascii="仿宋_GB2312" w:eastAsia="仿宋_GB2312" w:hAnsi="宋体" w:cs="Courier New" w:hint="eastAsia"/>
          <w:sz w:val="32"/>
          <w:szCs w:val="32"/>
        </w:rPr>
        <w:t>，，</w:t>
      </w:r>
      <w:r>
        <w:rPr>
          <w:rFonts w:ascii="仿宋_GB2312" w:eastAsia="仿宋_GB2312" w:hAnsi="宋体" w:cs="Courier New" w:hint="eastAsia"/>
          <w:sz w:val="32"/>
          <w:szCs w:val="32"/>
        </w:rPr>
        <w:t>住房</w:t>
      </w:r>
      <w:r>
        <w:rPr>
          <w:rFonts w:ascii="仿宋_GB2312" w:eastAsia="仿宋_GB2312" w:hAnsi="宋体" w:cs="Courier New" w:hint="eastAsia"/>
          <w:sz w:val="32"/>
          <w:szCs w:val="32"/>
        </w:rPr>
        <w:t>公积金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11.15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8.3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B83F50" w:rsidRDefault="0043328E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int="eastAsia"/>
          <w:sz w:val="32"/>
          <w:szCs w:val="32"/>
        </w:rPr>
        <w:t>预算支出</w:t>
      </w:r>
      <w:r>
        <w:rPr>
          <w:rFonts w:ascii="仿宋_GB2312" w:eastAsia="仿宋_GB2312" w:hint="eastAsia"/>
          <w:sz w:val="32"/>
          <w:szCs w:val="32"/>
        </w:rPr>
        <w:t>134.16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工资福利支出（类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131.36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）、津贴补贴</w:t>
      </w:r>
      <w:r>
        <w:rPr>
          <w:rFonts w:ascii="仿宋_GB2312" w:eastAsia="仿宋_GB2312" w:hint="eastAsia"/>
          <w:sz w:val="32"/>
          <w:szCs w:val="32"/>
        </w:rPr>
        <w:t>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）、绩效工资（款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）、住房公积金（款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 w:hint="eastAsia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万元，包括退休费（款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），其他对个人和家庭的补助（款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商品和服务支出（类</w:t>
      </w:r>
      <w:r>
        <w:rPr>
          <w:rFonts w:ascii="仿宋_GB2312" w:eastAsia="仿宋_GB2312" w:hint="eastAsia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2.8</w:t>
      </w:r>
      <w:r>
        <w:rPr>
          <w:rFonts w:ascii="仿宋_GB2312" w:eastAsia="仿宋_GB2312" w:hint="eastAsia"/>
          <w:sz w:val="32"/>
          <w:szCs w:val="32"/>
        </w:rPr>
        <w:t>万元，包括办公费（款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）、印刷费（款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年政府预算支出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134.16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万元。具体分为：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131.36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万元，包括基本工资、津贴补贴。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</w:p>
    <w:p w:rsidR="00B83F50" w:rsidRDefault="0043328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机关商品与服务支出（类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2.8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万元，包括办公经费（款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）、委托业务费（款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05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）、公务接待费（款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06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B83F50" w:rsidRDefault="0043328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B83F50" w:rsidRDefault="00B83F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B83F50" w:rsidRDefault="004332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生态旅游管委会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Ansi="宋体" w:cs="Courier New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B83F50" w:rsidRDefault="0043328E" w:rsidP="007676D1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B83F50" w:rsidRDefault="0043328E" w:rsidP="00767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 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B83F50" w:rsidRDefault="0043328E" w:rsidP="00767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生态旅游区管理委员会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Ansi="宋体" w:cs="Courier New" w:hint="eastAsia"/>
          <w:sz w:val="32"/>
          <w:szCs w:val="32"/>
        </w:rPr>
        <w:t>2.8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（三）重点项目预算绩效目标等情况说明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共开展预算绩效项目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个，涉及预算资金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编制绩效目标的预算项目共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Ansi="宋体" w:cs="Courier New" w:hint="eastAsia"/>
          <w:sz w:val="32"/>
          <w:szCs w:val="32"/>
        </w:rPr>
        <w:t>，预算资金共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负责管理的专项转移支付项目共有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项</w:t>
      </w: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</w:p>
    <w:p w:rsidR="00B83F50" w:rsidRDefault="0043328E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(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六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)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扶贫项目及资金安排情况</w:t>
      </w:r>
    </w:p>
    <w:p w:rsidR="00B83F50" w:rsidRDefault="0043328E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2020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年年</w:t>
      </w:r>
      <w:proofErr w:type="gramStart"/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初安排</w:t>
      </w:r>
      <w:proofErr w:type="gramEnd"/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专项扶贫项目资金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万元，涉及扶贫项目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个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。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其中中央资金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万元，</w:t>
      </w:r>
      <w:proofErr w:type="gramStart"/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省级资金</w:t>
      </w:r>
      <w:proofErr w:type="gramEnd"/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万元，区级资金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 xml:space="preserve"> 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万元。</w:t>
      </w:r>
    </w:p>
    <w:p w:rsidR="00B83F50" w:rsidRDefault="0043328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B83F50" w:rsidRDefault="00B83F5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必需的开支，其内容包括人员经费和日常公用经费两部分。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</w:t>
      </w:r>
      <w:r>
        <w:rPr>
          <w:rFonts w:ascii="仿宋_GB2312" w:eastAsia="仿宋_GB2312" w:hAnsi="宋体" w:cs="Courier New" w:hint="eastAsia"/>
          <w:sz w:val="32"/>
          <w:szCs w:val="32"/>
        </w:rPr>
        <w:t>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B83F50" w:rsidRDefault="00B83F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B83F50" w:rsidRDefault="004332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sectPr w:rsidR="00B83F5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B83F50" w:rsidRDefault="00B83F50">
      <w:pPr>
        <w:adjustRightInd w:val="0"/>
        <w:snapToGrid w:val="0"/>
        <w:spacing w:line="360" w:lineRule="auto"/>
      </w:pP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855710" cy="3926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41740" cy="2497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17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853170" cy="336486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45550" cy="4674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59520" cy="3726180"/>
            <wp:effectExtent l="0" t="0" r="177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8780145" cy="77343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801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8854440" cy="28956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50" w:rsidRDefault="0043328E">
      <w:pPr>
        <w:adjustRightInd w:val="0"/>
        <w:snapToGrid w:val="0"/>
        <w:spacing w:line="360" w:lineRule="auto"/>
        <w:rPr>
          <w:rFonts w:hint="eastAsia"/>
        </w:rPr>
      </w:pPr>
      <w:r>
        <w:rPr>
          <w:noProof/>
        </w:rPr>
        <w:drawing>
          <wp:inline distT="0" distB="0" distL="114300" distR="114300">
            <wp:extent cx="8862695" cy="1325880"/>
            <wp:effectExtent l="0" t="0" r="1460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D1" w:rsidRDefault="007676D1" w:rsidP="007676D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本单位没有政府性基金支出，故本表没有数据</w:t>
      </w:r>
    </w:p>
    <w:p w:rsidR="007676D1" w:rsidRPr="007676D1" w:rsidRDefault="007676D1">
      <w:pPr>
        <w:adjustRightInd w:val="0"/>
        <w:snapToGrid w:val="0"/>
        <w:spacing w:line="360" w:lineRule="auto"/>
      </w:pPr>
      <w:bookmarkStart w:id="0" w:name="_GoBack"/>
      <w:bookmarkEnd w:id="0"/>
    </w:p>
    <w:sectPr w:rsidR="007676D1" w:rsidRPr="007676D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3186D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81A"/>
    <w:rsid w:val="0029168C"/>
    <w:rsid w:val="002A0D95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3328E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30F26"/>
    <w:rsid w:val="0073591F"/>
    <w:rsid w:val="007676D1"/>
    <w:rsid w:val="007829BC"/>
    <w:rsid w:val="00794383"/>
    <w:rsid w:val="007B5898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4754"/>
    <w:rsid w:val="00B83F50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51FB3"/>
    <w:rsid w:val="00F754BD"/>
    <w:rsid w:val="00F862A9"/>
    <w:rsid w:val="00FA0A5A"/>
    <w:rsid w:val="00FE0C28"/>
    <w:rsid w:val="01FA7EB0"/>
    <w:rsid w:val="047C0E2B"/>
    <w:rsid w:val="086B1732"/>
    <w:rsid w:val="089768B6"/>
    <w:rsid w:val="09162ED3"/>
    <w:rsid w:val="0B8A6DA6"/>
    <w:rsid w:val="0E457386"/>
    <w:rsid w:val="102440B4"/>
    <w:rsid w:val="10684EFD"/>
    <w:rsid w:val="1774791D"/>
    <w:rsid w:val="192109C7"/>
    <w:rsid w:val="1A250014"/>
    <w:rsid w:val="1AB95EBE"/>
    <w:rsid w:val="1EAD46A7"/>
    <w:rsid w:val="1F8942FA"/>
    <w:rsid w:val="23093F83"/>
    <w:rsid w:val="2463083F"/>
    <w:rsid w:val="24D02800"/>
    <w:rsid w:val="2BD16ADF"/>
    <w:rsid w:val="2DA846EC"/>
    <w:rsid w:val="31D6793B"/>
    <w:rsid w:val="3A383C42"/>
    <w:rsid w:val="42DC548C"/>
    <w:rsid w:val="447236F4"/>
    <w:rsid w:val="46B251A0"/>
    <w:rsid w:val="477B742B"/>
    <w:rsid w:val="4A075E50"/>
    <w:rsid w:val="4AB564EE"/>
    <w:rsid w:val="4EFE7B71"/>
    <w:rsid w:val="4F982D2C"/>
    <w:rsid w:val="55532AB4"/>
    <w:rsid w:val="58056CC2"/>
    <w:rsid w:val="58B124B8"/>
    <w:rsid w:val="59B927F6"/>
    <w:rsid w:val="5A147BC0"/>
    <w:rsid w:val="5AFE5A1C"/>
    <w:rsid w:val="5C7C402F"/>
    <w:rsid w:val="5D051862"/>
    <w:rsid w:val="608F0209"/>
    <w:rsid w:val="67E42A59"/>
    <w:rsid w:val="6941697D"/>
    <w:rsid w:val="6D702CAE"/>
    <w:rsid w:val="6DE86D81"/>
    <w:rsid w:val="6DEC108E"/>
    <w:rsid w:val="6E793C6D"/>
    <w:rsid w:val="6F8165D6"/>
    <w:rsid w:val="719F05A9"/>
    <w:rsid w:val="72D51022"/>
    <w:rsid w:val="74F7761C"/>
    <w:rsid w:val="759419E1"/>
    <w:rsid w:val="75F469E3"/>
    <w:rsid w:val="77F62E52"/>
    <w:rsid w:val="78B36D0C"/>
    <w:rsid w:val="7ABA4F96"/>
    <w:rsid w:val="7EB335AE"/>
    <w:rsid w:val="7F10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CC03C-CFA5-4DC9-9D77-09B6F096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604</Words>
  <Characters>3449</Characters>
  <Application>Microsoft Office Word</Application>
  <DocSecurity>0</DocSecurity>
  <Lines>28</Lines>
  <Paragraphs>8</Paragraphs>
  <ScaleCrop>false</ScaleCrop>
  <Company>微软中国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2020-07-13T05:16:00Z</cp:lastPrinted>
  <dcterms:created xsi:type="dcterms:W3CDTF">2021-06-08T01:17:00Z</dcterms:created>
  <dcterms:modified xsi:type="dcterms:W3CDTF">2021-06-08T01:17:00Z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