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FC" w:rsidRDefault="00D95AB6">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龙安区发改委</w:t>
      </w:r>
    </w:p>
    <w:p w:rsidR="00F402FC" w:rsidRDefault="00D95AB6">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F402FC" w:rsidRDefault="00F402FC">
      <w:pPr>
        <w:adjustRightInd w:val="0"/>
        <w:snapToGrid w:val="0"/>
        <w:spacing w:line="360" w:lineRule="auto"/>
        <w:jc w:val="center"/>
        <w:rPr>
          <w:rFonts w:ascii="方正小标宋简体" w:eastAsia="方正小标宋简体" w:hAnsi="Times New Roman"/>
          <w:b/>
          <w:sz w:val="84"/>
          <w:szCs w:val="84"/>
        </w:rPr>
      </w:pPr>
    </w:p>
    <w:p w:rsidR="00F402FC" w:rsidRDefault="00F402FC">
      <w:pPr>
        <w:adjustRightInd w:val="0"/>
        <w:snapToGrid w:val="0"/>
        <w:spacing w:line="360" w:lineRule="auto"/>
        <w:rPr>
          <w:rFonts w:ascii="方正小标宋简体" w:eastAsia="方正小标宋简体" w:hAnsi="Times New Roman"/>
          <w:b/>
          <w:sz w:val="84"/>
          <w:szCs w:val="84"/>
        </w:rPr>
      </w:pPr>
    </w:p>
    <w:p w:rsidR="00F402FC" w:rsidRDefault="00D95AB6">
      <w:pPr>
        <w:kinsoku w:val="0"/>
        <w:overflowPunct w:val="0"/>
        <w:adjustRightInd w:val="0"/>
        <w:snapToGrid w:val="0"/>
        <w:spacing w:line="360" w:lineRule="auto"/>
        <w:ind w:left="101" w:right="3569"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人：刘海军</w:t>
      </w:r>
    </w:p>
    <w:p w:rsidR="00F402FC" w:rsidRDefault="00D95AB6">
      <w:pPr>
        <w:tabs>
          <w:tab w:val="left" w:pos="8364"/>
        </w:tabs>
        <w:kinsoku w:val="0"/>
        <w:overflowPunct w:val="0"/>
        <w:adjustRightInd w:val="0"/>
        <w:snapToGrid w:val="0"/>
        <w:spacing w:line="360" w:lineRule="auto"/>
        <w:ind w:right="-58" w:firstLineChars="231" w:firstLine="739"/>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13598138792</w:t>
      </w:r>
    </w:p>
    <w:p w:rsidR="00F402FC" w:rsidRDefault="00D95AB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人：秦风涛</w:t>
      </w:r>
    </w:p>
    <w:p w:rsidR="00F402FC" w:rsidRDefault="00D95AB6">
      <w:pPr>
        <w:kinsoku w:val="0"/>
        <w:overflowPunct w:val="0"/>
        <w:adjustRightInd w:val="0"/>
        <w:snapToGrid w:val="0"/>
        <w:spacing w:line="360" w:lineRule="auto"/>
        <w:ind w:left="101" w:right="-58"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18336436888</w:t>
      </w:r>
    </w:p>
    <w:p w:rsidR="00F402FC" w:rsidRDefault="00D95AB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10</w:t>
      </w:r>
      <w:r>
        <w:rPr>
          <w:rFonts w:ascii="仿宋_GB2312" w:eastAsia="仿宋_GB2312" w:hAnsi="Times New Roman" w:hint="eastAsia"/>
          <w:sz w:val="32"/>
          <w:szCs w:val="32"/>
        </w:rPr>
        <w:t>日</w:t>
      </w:r>
    </w:p>
    <w:p w:rsidR="00F402FC" w:rsidRDefault="00D95AB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F402FC" w:rsidRDefault="00F402FC">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F402FC" w:rsidRDefault="00F402FC">
      <w:pPr>
        <w:kinsoku w:val="0"/>
        <w:overflowPunct w:val="0"/>
        <w:adjustRightInd w:val="0"/>
        <w:snapToGrid w:val="0"/>
        <w:spacing w:line="360" w:lineRule="auto"/>
        <w:ind w:right="-58"/>
        <w:rPr>
          <w:rFonts w:ascii="仿宋_GB2312" w:eastAsia="仿宋_GB2312" w:hAnsi="Times New Roman"/>
          <w:sz w:val="32"/>
          <w:szCs w:val="32"/>
        </w:rPr>
      </w:pPr>
    </w:p>
    <w:p w:rsidR="00F402FC" w:rsidRDefault="00F402FC">
      <w:pPr>
        <w:kinsoku w:val="0"/>
        <w:overflowPunct w:val="0"/>
        <w:adjustRightInd w:val="0"/>
        <w:snapToGrid w:val="0"/>
        <w:spacing w:line="360" w:lineRule="auto"/>
        <w:ind w:right="-58"/>
        <w:rPr>
          <w:rFonts w:ascii="仿宋_GB2312" w:eastAsia="仿宋_GB2312" w:hAnsi="Times New Roman"/>
          <w:sz w:val="32"/>
          <w:szCs w:val="32"/>
        </w:rPr>
      </w:pPr>
    </w:p>
    <w:p w:rsidR="00F402FC" w:rsidRDefault="00D95AB6">
      <w:pPr>
        <w:rPr>
          <w:rFonts w:ascii="仿宋_GB2312" w:eastAsia="仿宋_GB2312" w:hAnsi="Times New Roman"/>
          <w:sz w:val="32"/>
          <w:szCs w:val="32"/>
        </w:rPr>
      </w:pPr>
      <w:r>
        <w:rPr>
          <w:rFonts w:ascii="仿宋_GB2312" w:eastAsia="仿宋_GB2312" w:hAnsi="Times New Roman"/>
          <w:sz w:val="32"/>
          <w:szCs w:val="32"/>
        </w:rPr>
        <w:br w:type="page"/>
      </w:r>
    </w:p>
    <w:p w:rsidR="00F402FC" w:rsidRDefault="00F402FC">
      <w:pPr>
        <w:kinsoku w:val="0"/>
        <w:overflowPunct w:val="0"/>
        <w:adjustRightInd w:val="0"/>
        <w:snapToGrid w:val="0"/>
        <w:spacing w:line="360" w:lineRule="auto"/>
        <w:ind w:right="-58"/>
        <w:rPr>
          <w:rFonts w:ascii="仿宋_GB2312" w:eastAsia="仿宋_GB2312" w:hAnsi="Times New Roman"/>
          <w:sz w:val="32"/>
          <w:szCs w:val="32"/>
        </w:rPr>
      </w:pPr>
    </w:p>
    <w:p w:rsidR="00F402FC" w:rsidRDefault="00D95AB6">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F402FC" w:rsidRDefault="00D95AB6">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龙安区发改委部门</w:t>
      </w:r>
      <w:r>
        <w:rPr>
          <w:rFonts w:ascii="黑体" w:eastAsia="黑体" w:hAnsi="Times New Roman" w:cs="黑体" w:hint="eastAsia"/>
          <w:sz w:val="32"/>
          <w:szCs w:val="32"/>
        </w:rPr>
        <w:t>概况</w:t>
      </w:r>
    </w:p>
    <w:p w:rsidR="00F402FC" w:rsidRDefault="00D95AB6">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F402FC" w:rsidRDefault="00D95AB6">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F402FC" w:rsidRDefault="00D95AB6">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龙安区发改委局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F402FC" w:rsidRDefault="00D95AB6">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F402FC" w:rsidRDefault="00D95AB6">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F402FC" w:rsidRDefault="00D95AB6">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F402FC" w:rsidRDefault="00D95AB6">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F402FC" w:rsidRDefault="00D95AB6">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附件：龙安区发改委</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四、</w:t>
      </w:r>
      <w:r>
        <w:rPr>
          <w:rFonts w:ascii="仿宋_GB2312" w:eastAsia="仿宋_GB2312" w:hint="eastAsia"/>
          <w:sz w:val="32"/>
          <w:szCs w:val="32"/>
        </w:rPr>
        <w:t>财政拨款收支总体情况表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F402FC" w:rsidRDefault="00D95AB6">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sz w:val="32"/>
          <w:szCs w:val="32"/>
        </w:rPr>
      </w:pPr>
    </w:p>
    <w:p w:rsidR="00F402FC" w:rsidRDefault="00F402FC">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F402FC" w:rsidRDefault="00D95AB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F402FC" w:rsidRDefault="00D95AB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龙安区发改委</w:t>
      </w:r>
      <w:r>
        <w:rPr>
          <w:rFonts w:ascii="黑体" w:eastAsia="黑体" w:hAnsi="黑体" w:hint="eastAsia"/>
          <w:b/>
          <w:bCs/>
          <w:sz w:val="32"/>
          <w:szCs w:val="32"/>
        </w:rPr>
        <w:t>部门概</w:t>
      </w:r>
      <w:r>
        <w:rPr>
          <w:rFonts w:ascii="黑体" w:eastAsia="黑体" w:hAnsi="黑体" w:hint="eastAsia"/>
          <w:sz w:val="32"/>
          <w:szCs w:val="32"/>
        </w:rPr>
        <w:t>况</w:t>
      </w:r>
    </w:p>
    <w:p w:rsidR="00F402FC" w:rsidRDefault="00F402FC">
      <w:pPr>
        <w:adjustRightInd w:val="0"/>
        <w:snapToGrid w:val="0"/>
        <w:spacing w:line="360" w:lineRule="auto"/>
        <w:ind w:firstLineChars="200" w:firstLine="640"/>
        <w:jc w:val="center"/>
        <w:rPr>
          <w:rFonts w:ascii="黑体" w:eastAsia="黑体" w:hAnsi="黑体"/>
          <w:sz w:val="32"/>
          <w:szCs w:val="32"/>
        </w:rPr>
      </w:pPr>
    </w:p>
    <w:p w:rsidR="00F402FC" w:rsidRDefault="00D95AB6">
      <w:pPr>
        <w:adjustRightInd w:val="0"/>
        <w:snapToGrid w:val="0"/>
        <w:spacing w:line="360" w:lineRule="auto"/>
        <w:ind w:firstLineChars="400" w:firstLine="1280"/>
        <w:rPr>
          <w:rFonts w:ascii="黑体" w:eastAsia="黑体" w:hAnsi="黑体"/>
          <w:b/>
          <w:bCs/>
          <w:color w:val="FF0000"/>
          <w:sz w:val="32"/>
          <w:szCs w:val="32"/>
        </w:rPr>
      </w:pPr>
      <w:r>
        <w:rPr>
          <w:rFonts w:ascii="黑体" w:eastAsia="黑体" w:hAnsi="黑体" w:hint="eastAsia"/>
          <w:sz w:val="32"/>
          <w:szCs w:val="32"/>
        </w:rPr>
        <w:t>一、龙安区发改委</w:t>
      </w:r>
      <w:r>
        <w:rPr>
          <w:rFonts w:ascii="黑体" w:eastAsia="黑体" w:hAnsi="黑体" w:hint="eastAsia"/>
          <w:b/>
          <w:bCs/>
          <w:sz w:val="32"/>
          <w:szCs w:val="32"/>
        </w:rPr>
        <w:t>部门主要职责</w:t>
      </w:r>
    </w:p>
    <w:p w:rsidR="00F402FC" w:rsidRDefault="00D95AB6">
      <w:pPr>
        <w:adjustRightInd w:val="0"/>
        <w:snapToGrid w:val="0"/>
        <w:spacing w:line="700" w:lineRule="exact"/>
        <w:ind w:leftChars="200" w:left="420" w:firstLineChars="200" w:firstLine="640"/>
        <w:jc w:val="left"/>
        <w:rPr>
          <w:rFonts w:ascii="仿宋" w:eastAsia="仿宋" w:hAnsi="仿宋" w:cs="仿宋"/>
          <w:sz w:val="32"/>
          <w:szCs w:val="32"/>
        </w:rPr>
      </w:pPr>
      <w:r>
        <w:rPr>
          <w:rFonts w:ascii="仿宋" w:eastAsia="仿宋" w:hAnsi="仿宋" w:cs="仿宋" w:hint="eastAsia"/>
          <w:kern w:val="0"/>
          <w:sz w:val="32"/>
          <w:szCs w:val="32"/>
        </w:rPr>
        <w:t>龙安区发改委是区政府经济工作综合协调部门，正科级，承担着发展改革的工作。机关内设</w:t>
      </w:r>
      <w:r>
        <w:rPr>
          <w:rFonts w:ascii="仿宋" w:eastAsia="仿宋" w:hAnsi="仿宋" w:cs="仿宋" w:hint="eastAsia"/>
          <w:kern w:val="0"/>
          <w:sz w:val="32"/>
          <w:szCs w:val="32"/>
        </w:rPr>
        <w:t xml:space="preserve"> 4</w:t>
      </w:r>
      <w:r>
        <w:rPr>
          <w:rFonts w:ascii="仿宋" w:eastAsia="仿宋" w:hAnsi="仿宋" w:cs="仿宋" w:hint="eastAsia"/>
          <w:kern w:val="0"/>
          <w:sz w:val="32"/>
          <w:szCs w:val="32"/>
        </w:rPr>
        <w:t>个职能股（室）分别为：</w:t>
      </w:r>
      <w:r>
        <w:rPr>
          <w:rFonts w:ascii="仿宋" w:eastAsia="仿宋" w:hAnsi="仿宋" w:cs="仿宋" w:hint="eastAsia"/>
          <w:sz w:val="32"/>
          <w:szCs w:val="32"/>
        </w:rPr>
        <w:t>办公室（体制改革综合股、法规股）；国民经济和社会发展股（服务业发展办公室、能源规划建设办公室）；</w:t>
      </w:r>
      <w:r>
        <w:rPr>
          <w:rFonts w:ascii="仿宋" w:eastAsia="仿宋" w:hAnsi="仿宋" w:cs="仿宋" w:hint="eastAsia"/>
          <w:sz w:val="30"/>
          <w:szCs w:val="30"/>
        </w:rPr>
        <w:t>经济运行和工业技术投资股（</w:t>
      </w:r>
      <w:r>
        <w:rPr>
          <w:rFonts w:ascii="仿宋" w:eastAsia="仿宋" w:hAnsi="仿宋" w:cs="仿宋" w:hint="eastAsia"/>
          <w:color w:val="000000"/>
          <w:sz w:val="30"/>
          <w:szCs w:val="30"/>
        </w:rPr>
        <w:t>审批服务股、</w:t>
      </w:r>
      <w:r>
        <w:rPr>
          <w:rFonts w:ascii="仿宋" w:eastAsia="仿宋" w:hAnsi="仿宋" w:cs="仿宋" w:hint="eastAsia"/>
          <w:sz w:val="32"/>
          <w:szCs w:val="32"/>
        </w:rPr>
        <w:t>营商环境建设股</w:t>
      </w:r>
      <w:r>
        <w:rPr>
          <w:rFonts w:ascii="仿宋" w:eastAsia="仿宋" w:hAnsi="仿宋" w:cs="仿宋" w:hint="eastAsia"/>
          <w:color w:val="000000"/>
          <w:sz w:val="30"/>
          <w:szCs w:val="30"/>
        </w:rPr>
        <w:t>）；龙安区人民政府重点项目建设办公室</w:t>
      </w:r>
      <w:r>
        <w:rPr>
          <w:rFonts w:ascii="仿宋" w:eastAsia="仿宋" w:hAnsi="仿宋" w:cs="仿宋" w:hint="eastAsia"/>
          <w:color w:val="000000"/>
          <w:sz w:val="32"/>
          <w:szCs w:val="32"/>
        </w:rPr>
        <w:t>(</w:t>
      </w:r>
      <w:r>
        <w:rPr>
          <w:rFonts w:ascii="仿宋" w:eastAsia="仿宋" w:hAnsi="仿宋" w:cs="仿宋" w:hint="eastAsia"/>
          <w:sz w:val="32"/>
          <w:szCs w:val="32"/>
        </w:rPr>
        <w:t>物价管理股、</w:t>
      </w:r>
      <w:r>
        <w:rPr>
          <w:rFonts w:ascii="仿宋" w:eastAsia="仿宋" w:hAnsi="仿宋" w:cs="仿宋" w:hint="eastAsia"/>
          <w:color w:val="000000"/>
          <w:sz w:val="32"/>
          <w:szCs w:val="32"/>
        </w:rPr>
        <w:t>粮食和物资储备股</w:t>
      </w:r>
      <w:r>
        <w:rPr>
          <w:rFonts w:ascii="仿宋" w:eastAsia="仿宋" w:hAnsi="仿宋" w:cs="仿宋" w:hint="eastAsia"/>
          <w:sz w:val="32"/>
          <w:szCs w:val="32"/>
        </w:rPr>
        <w:t>）。</w:t>
      </w:r>
    </w:p>
    <w:p w:rsidR="00F402FC" w:rsidRDefault="00D95AB6">
      <w:pPr>
        <w:ind w:leftChars="304" w:left="638"/>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主要职能：</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拟订并组织实施全区国民经济和社会发展中长期规划和年度计划。</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提出全区加快建设现代化经济体系、推动高质量发展的总体目标、重大任务以及相关政策。</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统筹提出全区国民经济和社会发展主要目标，监测预测预警宏观经济和社会发展态势趋势，提出宏观调控政策建议。</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指导推进和综合协调全区经济体制改革有关</w:t>
      </w:r>
      <w:r>
        <w:rPr>
          <w:rFonts w:ascii="仿宋_GB2312" w:eastAsia="仿宋_GB2312" w:hAnsi="楷体" w:cs="楷体" w:hint="eastAsia"/>
          <w:sz w:val="32"/>
          <w:szCs w:val="32"/>
        </w:rPr>
        <w:lastRenderedPageBreak/>
        <w:t>工作，提出相关改革建议。</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提出全区利用外资和境外投资的规划、总量平衡和结构优化政策。</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负责区投资综合管理，拟订全区固定资产投资总规模、结构调控目标和政策，会同相关部门拟订政府投资项目审批权限和政府核准的固定资产投资项目目录</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推进落实国家、省、市区域协调发展战略、新型城镇化战略和重大政策，组织拟订相关区域规划和政策</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组织拟订全区综合性产业政策</w:t>
      </w:r>
      <w:r>
        <w:rPr>
          <w:rFonts w:ascii="仿宋_GB2312" w:eastAsia="仿宋_GB2312" w:hAnsi="楷体" w:cs="楷体" w:hint="eastAsia"/>
          <w:sz w:val="32"/>
          <w:szCs w:val="32"/>
        </w:rPr>
        <w:t>.</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推动实施全区创新驱动发展</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跟踪研判全区涉及经济安全、生态安全、资源安全、科技安全、社会安全等各类风险隐患，提出相关工作建议。</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负</w:t>
      </w:r>
      <w:r>
        <w:rPr>
          <w:rFonts w:ascii="仿宋_GB2312" w:eastAsia="仿宋_GB2312" w:hAnsi="楷体" w:cs="楷体" w:hint="eastAsia"/>
          <w:sz w:val="32"/>
          <w:szCs w:val="32"/>
        </w:rPr>
        <w:t>责全区社会发展与国民经济发展的政策衔接，协调有关重大问题。</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会同有关部门拟订推进全区经济建设与国防建设协调发展的规划和政策，协调有关重大问题。</w:t>
      </w:r>
    </w:p>
    <w:p w:rsidR="00F402FC" w:rsidRDefault="00D95AB6">
      <w:pPr>
        <w:numPr>
          <w:ilvl w:val="0"/>
          <w:numId w:val="1"/>
        </w:numPr>
        <w:ind w:leftChars="304" w:left="638" w:firstLineChars="100" w:firstLine="320"/>
        <w:jc w:val="left"/>
        <w:rPr>
          <w:rFonts w:ascii="仿宋_GB2312" w:eastAsia="仿宋_GB2312" w:hAnsi="楷体" w:cs="楷体"/>
          <w:sz w:val="32"/>
          <w:szCs w:val="32"/>
        </w:rPr>
      </w:pPr>
      <w:r>
        <w:rPr>
          <w:rFonts w:ascii="仿宋_GB2312" w:eastAsia="仿宋_GB2312" w:hAnsi="楷体" w:cs="楷体" w:hint="eastAsia"/>
          <w:sz w:val="32"/>
          <w:szCs w:val="32"/>
        </w:rPr>
        <w:t>健全完善全区统一规范的公共资源交易平台。</w:t>
      </w:r>
    </w:p>
    <w:p w:rsidR="00F402FC" w:rsidRDefault="00D95AB6">
      <w:pPr>
        <w:numPr>
          <w:ilvl w:val="0"/>
          <w:numId w:val="1"/>
        </w:numPr>
        <w:spacing w:line="560" w:lineRule="exact"/>
        <w:ind w:leftChars="304" w:left="638" w:firstLineChars="100" w:firstLine="320"/>
        <w:rPr>
          <w:rFonts w:ascii="仿宋_GB2312" w:eastAsia="仿宋_GB2312" w:hAnsi="楷体" w:cs="楷体"/>
          <w:sz w:val="32"/>
          <w:szCs w:val="32"/>
        </w:rPr>
      </w:pPr>
      <w:r>
        <w:rPr>
          <w:rFonts w:ascii="仿宋_GB2312" w:eastAsia="仿宋_GB2312" w:hAnsi="楷体" w:cs="楷体" w:hint="eastAsia"/>
          <w:sz w:val="32"/>
          <w:szCs w:val="32"/>
        </w:rPr>
        <w:t>拟订全区能源发展规划、政策和年度指导计</w:t>
      </w:r>
      <w:r>
        <w:rPr>
          <w:rFonts w:ascii="仿宋_GB2312" w:eastAsia="仿宋_GB2312" w:hAnsi="楷体" w:cs="楷体" w:hint="eastAsia"/>
          <w:sz w:val="32"/>
          <w:szCs w:val="32"/>
        </w:rPr>
        <w:lastRenderedPageBreak/>
        <w:t>划并组织实施，推进能源体制改革，拟订有关改革方案并组织实施，协调全区能源发展和改革中的重大问题。</w:t>
      </w:r>
    </w:p>
    <w:p w:rsidR="00F402FC" w:rsidRDefault="00D95AB6">
      <w:pPr>
        <w:numPr>
          <w:ilvl w:val="0"/>
          <w:numId w:val="1"/>
        </w:numPr>
        <w:spacing w:line="560" w:lineRule="exact"/>
        <w:ind w:leftChars="304" w:left="638" w:firstLineChars="100" w:firstLine="320"/>
        <w:rPr>
          <w:rFonts w:ascii="仿宋_GB2312" w:eastAsia="仿宋_GB2312" w:hAnsi="楷体" w:cs="楷体"/>
          <w:sz w:val="32"/>
          <w:szCs w:val="32"/>
        </w:rPr>
      </w:pPr>
      <w:r>
        <w:rPr>
          <w:rFonts w:ascii="仿宋_GB2312" w:eastAsia="仿宋_GB2312" w:hAnsi="楷体" w:cs="楷体" w:hint="eastAsia"/>
          <w:sz w:val="32"/>
          <w:szCs w:val="32"/>
        </w:rPr>
        <w:t>负责全区能源规划建设管理，推进能源资源优化配置。</w:t>
      </w:r>
    </w:p>
    <w:p w:rsidR="00F402FC" w:rsidRDefault="00D95AB6">
      <w:pPr>
        <w:numPr>
          <w:ilvl w:val="0"/>
          <w:numId w:val="1"/>
        </w:numPr>
        <w:ind w:leftChars="304" w:left="638" w:firstLineChars="100" w:firstLine="320"/>
        <w:rPr>
          <w:rFonts w:ascii="仿宋_GB2312" w:eastAsia="仿宋_GB2312" w:hAnsi="楷体" w:cs="楷体"/>
          <w:sz w:val="32"/>
          <w:szCs w:val="32"/>
        </w:rPr>
      </w:pPr>
      <w:r>
        <w:rPr>
          <w:rFonts w:ascii="仿宋_GB2312" w:eastAsia="仿宋_GB2312" w:hAnsi="楷体" w:cs="楷体" w:hint="eastAsia"/>
          <w:sz w:val="32"/>
          <w:szCs w:val="32"/>
        </w:rPr>
        <w:t>贯彻执行国家及省粮食流通和物资储备管理的法律法规；拟定全区粮食流通和物资储备体制改革方案并组织实施；推动国有粮食企业改革。</w:t>
      </w:r>
    </w:p>
    <w:p w:rsidR="00F402FC" w:rsidRDefault="00D95AB6">
      <w:pPr>
        <w:numPr>
          <w:ilvl w:val="0"/>
          <w:numId w:val="1"/>
        </w:numPr>
        <w:ind w:leftChars="304" w:left="638" w:firstLineChars="100" w:firstLine="320"/>
        <w:rPr>
          <w:rFonts w:ascii="仿宋_GB2312" w:eastAsia="仿宋_GB2312" w:hAnsi="楷体" w:cs="楷体"/>
          <w:sz w:val="32"/>
          <w:szCs w:val="32"/>
        </w:rPr>
      </w:pPr>
      <w:r>
        <w:rPr>
          <w:rFonts w:ascii="仿宋_GB2312" w:eastAsia="仿宋_GB2312" w:hAnsi="楷体" w:cs="楷体" w:hint="eastAsia"/>
          <w:sz w:val="32"/>
          <w:szCs w:val="32"/>
        </w:rPr>
        <w:t>指导全区粮食和物</w:t>
      </w:r>
      <w:r>
        <w:rPr>
          <w:rFonts w:ascii="仿宋_GB2312" w:eastAsia="仿宋_GB2312" w:hAnsi="楷体" w:cs="楷体" w:hint="eastAsia"/>
          <w:sz w:val="32"/>
          <w:szCs w:val="32"/>
        </w:rPr>
        <w:t>资储备系统财务、审计工作</w:t>
      </w:r>
    </w:p>
    <w:p w:rsidR="00F402FC" w:rsidRDefault="00D95AB6">
      <w:pPr>
        <w:numPr>
          <w:ilvl w:val="0"/>
          <w:numId w:val="1"/>
        </w:numPr>
        <w:ind w:leftChars="304" w:left="638" w:firstLineChars="100" w:firstLine="320"/>
        <w:rPr>
          <w:rFonts w:ascii="仿宋_GB2312" w:eastAsia="仿宋_GB2312" w:hAnsi="Times New Roman"/>
          <w:sz w:val="32"/>
          <w:szCs w:val="32"/>
        </w:rPr>
      </w:pPr>
      <w:r>
        <w:rPr>
          <w:rFonts w:ascii="仿宋_GB2312" w:eastAsia="仿宋_GB2312" w:hAnsi="楷体" w:cs="楷体" w:hint="eastAsia"/>
          <w:sz w:val="32"/>
          <w:szCs w:val="32"/>
        </w:rPr>
        <w:t>完成区委、区政府交办的其他任务。</w:t>
      </w:r>
    </w:p>
    <w:p w:rsidR="00F402FC" w:rsidRDefault="00D95AB6">
      <w:pPr>
        <w:ind w:leftChars="404" w:left="848"/>
        <w:rPr>
          <w:rFonts w:ascii="仿宋_GB2312" w:eastAsia="仿宋_GB2312" w:hAnsi="Times New Roman"/>
          <w:sz w:val="32"/>
          <w:szCs w:val="32"/>
        </w:rPr>
      </w:pPr>
      <w:r>
        <w:rPr>
          <w:rFonts w:ascii="仿宋_GB2312" w:eastAsia="仿宋_GB2312" w:hAnsi="仿宋" w:hint="eastAsia"/>
          <w:b/>
          <w:bCs/>
          <w:color w:val="000000"/>
          <w:sz w:val="30"/>
          <w:szCs w:val="30"/>
        </w:rPr>
        <w:t xml:space="preserve"> </w:t>
      </w:r>
    </w:p>
    <w:p w:rsidR="00F402FC" w:rsidRDefault="00D95AB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二、龙安区发改委</w:t>
      </w:r>
      <w:r>
        <w:rPr>
          <w:rFonts w:ascii="黑体" w:eastAsia="黑体" w:hAnsi="黑体" w:hint="eastAsia"/>
          <w:b/>
          <w:bCs/>
          <w:sz w:val="32"/>
          <w:szCs w:val="32"/>
        </w:rPr>
        <w:t>部门预</w:t>
      </w:r>
      <w:r>
        <w:rPr>
          <w:rFonts w:ascii="黑体" w:eastAsia="黑体" w:hAnsi="黑体" w:hint="eastAsia"/>
          <w:sz w:val="32"/>
          <w:szCs w:val="32"/>
        </w:rPr>
        <w:t>算单位构成</w:t>
      </w:r>
    </w:p>
    <w:p w:rsidR="00F402FC" w:rsidRDefault="00D95AB6">
      <w:pPr>
        <w:kinsoku w:val="0"/>
        <w:overflowPunct w:val="0"/>
        <w:autoSpaceDE w:val="0"/>
        <w:autoSpaceDN w:val="0"/>
        <w:adjustRightInd w:val="0"/>
        <w:snapToGrid w:val="0"/>
        <w:spacing w:line="360" w:lineRule="auto"/>
        <w:ind w:leftChars="58" w:left="122" w:right="118" w:firstLineChars="162" w:firstLine="518"/>
        <w:jc w:val="left"/>
        <w:rPr>
          <w:rFonts w:ascii="仿宋_GB2312" w:eastAsia="仿宋_GB2312" w:hAnsi="Times New Roman" w:cs="仿宋_GB2312"/>
          <w:spacing w:val="-1"/>
          <w:kern w:val="0"/>
          <w:sz w:val="32"/>
          <w:szCs w:val="32"/>
        </w:rPr>
      </w:pPr>
      <w:r>
        <w:rPr>
          <w:rFonts w:ascii="仿宋_GB2312" w:eastAsia="仿宋_GB2312" w:hAnsi="宋体" w:cs="Courier New" w:hint="eastAsia"/>
          <w:kern w:val="0"/>
          <w:sz w:val="32"/>
          <w:szCs w:val="32"/>
        </w:rPr>
        <w:t>龙安区发改委部门预算包括局机关本级预算和局属单位预算。</w:t>
      </w:r>
    </w:p>
    <w:p w:rsidR="00F402FC" w:rsidRDefault="00D95AB6">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u w:val="single"/>
        </w:rPr>
      </w:pPr>
      <w:r>
        <w:rPr>
          <w:rFonts w:ascii="仿宋_GB2312" w:eastAsia="仿宋_GB2312" w:hAnsi="Times New Roman" w:cs="仿宋_GB2312"/>
          <w:spacing w:val="-1"/>
          <w:kern w:val="0"/>
          <w:sz w:val="32"/>
          <w:szCs w:val="32"/>
        </w:rPr>
        <w:t>1</w:t>
      </w:r>
      <w:r>
        <w:rPr>
          <w:rFonts w:ascii="仿宋_GB2312" w:eastAsia="仿宋_GB2312" w:hAnsi="Times New Roman" w:cs="仿宋_GB2312" w:hint="eastAsia"/>
          <w:spacing w:val="-1"/>
          <w:kern w:val="0"/>
          <w:sz w:val="32"/>
          <w:szCs w:val="32"/>
        </w:rPr>
        <w:t>、发展和改革委员会机关本级</w:t>
      </w:r>
    </w:p>
    <w:p w:rsidR="00F402FC" w:rsidRDefault="00D95AB6">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r>
        <w:rPr>
          <w:rFonts w:ascii="仿宋_GB2312" w:eastAsia="仿宋_GB2312" w:hAnsi="Times New Roman" w:cs="仿宋_GB2312" w:hint="eastAsia"/>
          <w:spacing w:val="-1"/>
          <w:kern w:val="0"/>
          <w:sz w:val="32"/>
          <w:szCs w:val="32"/>
        </w:rPr>
        <w:t>2</w:t>
      </w:r>
      <w:r>
        <w:rPr>
          <w:rFonts w:ascii="仿宋_GB2312" w:eastAsia="仿宋_GB2312" w:hAnsi="Times New Roman" w:cs="仿宋_GB2312" w:hint="eastAsia"/>
          <w:spacing w:val="-1"/>
          <w:kern w:val="0"/>
          <w:sz w:val="32"/>
          <w:szCs w:val="32"/>
        </w:rPr>
        <w:t>、龙安区人民政府重点项目建设服务中心</w:t>
      </w:r>
    </w:p>
    <w:p w:rsidR="00F402FC" w:rsidRDefault="00D95AB6">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r>
        <w:rPr>
          <w:rFonts w:ascii="仿宋_GB2312" w:eastAsia="仿宋_GB2312" w:hAnsi="Times New Roman" w:cs="仿宋_GB2312" w:hint="eastAsia"/>
          <w:spacing w:val="-1"/>
          <w:kern w:val="0"/>
          <w:sz w:val="32"/>
          <w:szCs w:val="32"/>
        </w:rPr>
        <w:t>3</w:t>
      </w:r>
      <w:r>
        <w:rPr>
          <w:rFonts w:ascii="仿宋_GB2312" w:eastAsia="仿宋_GB2312" w:hAnsi="Times New Roman" w:cs="仿宋_GB2312" w:hint="eastAsia"/>
          <w:spacing w:val="-1"/>
          <w:kern w:val="0"/>
          <w:sz w:val="32"/>
          <w:szCs w:val="32"/>
        </w:rPr>
        <w:t>、价格认证中心</w:t>
      </w:r>
    </w:p>
    <w:p w:rsidR="00F402FC" w:rsidRDefault="00F402FC">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p>
    <w:p w:rsidR="00F402FC" w:rsidRDefault="00F402FC">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p>
    <w:p w:rsidR="00F402FC" w:rsidRDefault="00F402FC">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p>
    <w:p w:rsidR="00F402FC" w:rsidRDefault="00F402FC">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rPr>
      </w:pPr>
    </w:p>
    <w:p w:rsidR="00F402FC" w:rsidRDefault="00F402FC">
      <w:pPr>
        <w:adjustRightInd w:val="0"/>
        <w:snapToGrid w:val="0"/>
        <w:spacing w:line="360" w:lineRule="auto"/>
        <w:jc w:val="center"/>
        <w:rPr>
          <w:rFonts w:ascii="黑体" w:eastAsia="黑体" w:hAnsi="Times New Roman" w:cs="黑体"/>
          <w:sz w:val="32"/>
          <w:szCs w:val="32"/>
        </w:rPr>
      </w:pPr>
    </w:p>
    <w:p w:rsidR="00F402FC" w:rsidRDefault="00F402FC">
      <w:pPr>
        <w:adjustRightInd w:val="0"/>
        <w:snapToGrid w:val="0"/>
        <w:spacing w:line="360" w:lineRule="auto"/>
        <w:jc w:val="center"/>
        <w:rPr>
          <w:rFonts w:ascii="黑体" w:eastAsia="黑体" w:hAnsi="Times New Roman" w:cs="黑体"/>
          <w:sz w:val="32"/>
          <w:szCs w:val="32"/>
        </w:rPr>
      </w:pPr>
    </w:p>
    <w:p w:rsidR="00F402FC" w:rsidRDefault="00D95AB6">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lastRenderedPageBreak/>
        <w:t>第二部分</w:t>
      </w:r>
    </w:p>
    <w:p w:rsidR="00F402FC" w:rsidRDefault="00D95AB6">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龙安区发改委</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F402FC" w:rsidRDefault="00F402FC">
      <w:pPr>
        <w:adjustRightInd w:val="0"/>
        <w:snapToGrid w:val="0"/>
        <w:spacing w:line="360" w:lineRule="auto"/>
        <w:ind w:firstLineChars="200" w:firstLine="640"/>
        <w:rPr>
          <w:rFonts w:ascii="黑体" w:eastAsia="黑体" w:hAnsi="黑体"/>
          <w:sz w:val="32"/>
          <w:szCs w:val="32"/>
        </w:rPr>
      </w:pPr>
    </w:p>
    <w:p w:rsidR="00F402FC" w:rsidRDefault="00D95AB6">
      <w:pPr>
        <w:numPr>
          <w:ilvl w:val="0"/>
          <w:numId w:val="2"/>
        </w:num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收入支出预算总体情况说明</w:t>
      </w:r>
    </w:p>
    <w:p w:rsidR="00F402FC" w:rsidRDefault="00D95AB6">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龙安区发改委</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1860.05</w:t>
      </w:r>
      <w:r>
        <w:rPr>
          <w:rFonts w:ascii="仿宋_GB2312" w:eastAsia="仿宋_GB2312" w:hAnsi="宋体" w:cs="Courier New" w:hint="eastAsia"/>
          <w:sz w:val="32"/>
          <w:szCs w:val="32"/>
        </w:rPr>
        <w:t>万元，支出总计</w:t>
      </w:r>
      <w:r>
        <w:rPr>
          <w:rFonts w:ascii="仿宋_GB2312" w:eastAsia="仿宋_GB2312" w:hint="eastAsia"/>
          <w:sz w:val="32"/>
          <w:szCs w:val="32"/>
        </w:rPr>
        <w:t>1860.05</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年相比，收入总计增加</w:t>
      </w:r>
      <w:r>
        <w:rPr>
          <w:rFonts w:ascii="仿宋_GB2312" w:eastAsia="仿宋_GB2312" w:hAnsi="宋体" w:cs="Courier New" w:hint="eastAsia"/>
          <w:sz w:val="32"/>
          <w:szCs w:val="32"/>
        </w:rPr>
        <w:t>530.92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39.94%</w:t>
      </w:r>
      <w:r>
        <w:rPr>
          <w:rFonts w:ascii="仿宋_GB2312" w:eastAsia="仿宋_GB2312" w:hAnsi="宋体" w:cs="Courier New" w:hint="eastAsia"/>
          <w:sz w:val="32"/>
          <w:szCs w:val="32"/>
        </w:rPr>
        <w:t>；支出总计增加</w:t>
      </w:r>
      <w:r>
        <w:rPr>
          <w:rFonts w:ascii="仿宋_GB2312" w:eastAsia="仿宋_GB2312" w:hAnsi="宋体" w:cs="Courier New" w:hint="eastAsia"/>
          <w:sz w:val="32"/>
          <w:szCs w:val="32"/>
        </w:rPr>
        <w:t>530.92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39.94%</w:t>
      </w:r>
      <w:r>
        <w:rPr>
          <w:rFonts w:ascii="仿宋_GB2312" w:eastAsia="仿宋_GB2312" w:hAnsi="宋体" w:cs="Courier New" w:hint="eastAsia"/>
          <w:sz w:val="32"/>
          <w:szCs w:val="32"/>
        </w:rPr>
        <w:t>。主要原因：增加商品和服务支出（专项）。</w:t>
      </w:r>
    </w:p>
    <w:p w:rsidR="00F402FC" w:rsidRDefault="00D95AB6">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1860.05</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1860.05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F402FC" w:rsidRDefault="00F402FC">
      <w:pPr>
        <w:spacing w:line="560" w:lineRule="exact"/>
        <w:ind w:firstLineChars="200" w:firstLine="640"/>
        <w:rPr>
          <w:rFonts w:ascii="黑体" w:eastAsia="黑体" w:hAnsi="黑体"/>
          <w:sz w:val="32"/>
          <w:szCs w:val="32"/>
        </w:rPr>
      </w:pPr>
    </w:p>
    <w:p w:rsidR="00F402FC" w:rsidRDefault="00D95AB6">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1860.05</w:t>
      </w:r>
      <w:r>
        <w:rPr>
          <w:rFonts w:ascii="仿宋_GB2312" w:eastAsia="仿宋_GB2312" w:hAnsi="宋体" w:cs="Courier New" w:hint="eastAsia"/>
          <w:sz w:val="32"/>
          <w:szCs w:val="32"/>
        </w:rPr>
        <w:t>万元，其中：基本支出</w:t>
      </w:r>
      <w:r>
        <w:rPr>
          <w:rFonts w:ascii="仿宋_GB2312" w:eastAsia="仿宋_GB2312" w:hAnsi="宋体" w:cs="Courier New" w:hint="eastAsia"/>
          <w:sz w:val="32"/>
          <w:szCs w:val="32"/>
        </w:rPr>
        <w:t>318.25</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17.11</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Ansi="宋体" w:cs="Courier New" w:hint="eastAsia"/>
          <w:sz w:val="32"/>
          <w:szCs w:val="32"/>
        </w:rPr>
        <w:t>1541.80</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82.89</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F402FC" w:rsidRDefault="00F402FC">
      <w:pPr>
        <w:spacing w:line="560" w:lineRule="exact"/>
        <w:ind w:firstLineChars="200" w:firstLine="640"/>
        <w:rPr>
          <w:rFonts w:ascii="黑体" w:eastAsia="黑体" w:hAnsi="黑体"/>
          <w:sz w:val="32"/>
          <w:szCs w:val="32"/>
        </w:rPr>
      </w:pPr>
    </w:p>
    <w:p w:rsidR="00F402FC" w:rsidRDefault="00D95AB6">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1860.05</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hint="eastAsia"/>
          <w:sz w:val="32"/>
          <w:szCs w:val="32"/>
        </w:rPr>
        <w:t>530.92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39.94</w:t>
      </w:r>
      <w:r>
        <w:rPr>
          <w:rFonts w:ascii="仿宋_GB2312" w:eastAsia="仿宋_GB2312" w:hAnsi="宋体" w:cs="Courier New"/>
          <w:sz w:val="32"/>
          <w:szCs w:val="32"/>
        </w:rPr>
        <w:t>%</w:t>
      </w:r>
      <w:r>
        <w:rPr>
          <w:rFonts w:ascii="仿宋_GB2312" w:eastAsia="仿宋_GB2312" w:hAnsi="宋体" w:cs="Courier New" w:hint="eastAsia"/>
          <w:sz w:val="32"/>
          <w:szCs w:val="32"/>
        </w:rPr>
        <w:t>，主要原因增加商品和服务支出（专项）；政府性基金收支预算增加</w:t>
      </w:r>
      <w:r>
        <w:rPr>
          <w:rFonts w:ascii="仿宋_GB2312" w:eastAsia="仿宋_GB2312" w:hAnsi="宋体" w:cs="Courier New" w:hint="eastAsia"/>
          <w:sz w:val="32"/>
          <w:szCs w:val="32"/>
        </w:rPr>
        <w:lastRenderedPageBreak/>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F402FC" w:rsidRDefault="00F402FC">
      <w:pPr>
        <w:spacing w:line="560" w:lineRule="exact"/>
        <w:ind w:firstLineChars="200" w:firstLine="640"/>
        <w:rPr>
          <w:rFonts w:ascii="黑体" w:eastAsia="黑体" w:hAnsi="黑体"/>
          <w:sz w:val="32"/>
          <w:szCs w:val="32"/>
        </w:rPr>
      </w:pPr>
    </w:p>
    <w:p w:rsidR="00F402FC" w:rsidRDefault="00D95AB6">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1860.05</w:t>
      </w:r>
      <w:r>
        <w:rPr>
          <w:rFonts w:ascii="仿宋_GB2312" w:eastAsia="仿宋_GB2312" w:hAnsi="宋体" w:cs="Courier New" w:hint="eastAsia"/>
          <w:sz w:val="32"/>
          <w:szCs w:val="32"/>
        </w:rPr>
        <w:t>万元。主要用于以下方面：一般公共服务（类）支出</w:t>
      </w:r>
      <w:r>
        <w:rPr>
          <w:rFonts w:ascii="仿宋_GB2312" w:eastAsia="仿宋_GB2312" w:hAnsi="宋体" w:cs="Courier New" w:hint="eastAsia"/>
          <w:sz w:val="32"/>
          <w:szCs w:val="32"/>
        </w:rPr>
        <w:t>1773.2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95.33</w:t>
      </w:r>
      <w:r>
        <w:rPr>
          <w:rFonts w:ascii="仿宋_GB2312" w:eastAsia="仿宋_GB2312" w:hAnsi="宋体" w:cs="Courier New"/>
          <w:sz w:val="32"/>
          <w:szCs w:val="32"/>
        </w:rPr>
        <w:t>%</w:t>
      </w:r>
      <w:r>
        <w:rPr>
          <w:rFonts w:ascii="仿宋_GB2312" w:eastAsia="仿宋_GB2312" w:hAnsi="宋体" w:cs="Courier New" w:hint="eastAsia"/>
          <w:sz w:val="32"/>
          <w:szCs w:val="32"/>
        </w:rPr>
        <w:t>社</w:t>
      </w:r>
      <w:r>
        <w:rPr>
          <w:rFonts w:ascii="仿宋_GB2312" w:eastAsia="仿宋_GB2312" w:hAnsi="宋体" w:cs="Courier New" w:hint="eastAsia"/>
          <w:sz w:val="32"/>
          <w:szCs w:val="32"/>
        </w:rPr>
        <w:t>会保障和就业（类）支出</w:t>
      </w:r>
      <w:r>
        <w:rPr>
          <w:rFonts w:ascii="仿宋_GB2312" w:eastAsia="仿宋_GB2312" w:hAnsi="宋体" w:cs="Courier New" w:hint="eastAsia"/>
          <w:sz w:val="32"/>
          <w:szCs w:val="32"/>
        </w:rPr>
        <w:t>33.98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1.83</w:t>
      </w:r>
      <w:r>
        <w:rPr>
          <w:rFonts w:ascii="仿宋_GB2312" w:eastAsia="仿宋_GB2312" w:hAnsi="宋体" w:cs="Courier New"/>
          <w:sz w:val="32"/>
          <w:szCs w:val="32"/>
        </w:rPr>
        <w:t>%</w:t>
      </w:r>
      <w:r>
        <w:rPr>
          <w:rFonts w:ascii="仿宋_GB2312" w:eastAsia="仿宋_GB2312" w:hAnsi="宋体" w:cs="Courier New" w:hint="eastAsia"/>
          <w:sz w:val="32"/>
          <w:szCs w:val="32"/>
        </w:rPr>
        <w:t>；卫生健康（类）支出</w:t>
      </w:r>
      <w:r>
        <w:rPr>
          <w:rFonts w:ascii="仿宋_GB2312" w:eastAsia="仿宋_GB2312" w:hAnsi="宋体" w:cs="Courier New" w:hint="eastAsia"/>
          <w:sz w:val="32"/>
          <w:szCs w:val="32"/>
        </w:rPr>
        <w:t>27.94</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1.5%</w:t>
      </w:r>
      <w:r>
        <w:rPr>
          <w:rFonts w:ascii="仿宋_GB2312" w:eastAsia="仿宋_GB2312" w:hAnsi="宋体" w:cs="Courier New" w:hint="eastAsia"/>
          <w:sz w:val="32"/>
          <w:szCs w:val="32"/>
        </w:rPr>
        <w:t>；住房保障（类）支出</w:t>
      </w:r>
      <w:r>
        <w:rPr>
          <w:rFonts w:ascii="仿宋_GB2312" w:eastAsia="仿宋_GB2312" w:hAnsi="宋体" w:cs="Courier New" w:hint="eastAsia"/>
          <w:sz w:val="32"/>
          <w:szCs w:val="32"/>
        </w:rPr>
        <w:t>24.94</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1.34%</w:t>
      </w:r>
      <w:r>
        <w:rPr>
          <w:rFonts w:ascii="仿宋_GB2312" w:eastAsia="仿宋_GB2312" w:hAnsi="宋体" w:cs="Courier New" w:hint="eastAsia"/>
          <w:sz w:val="32"/>
          <w:szCs w:val="32"/>
        </w:rPr>
        <w:t>。</w:t>
      </w:r>
    </w:p>
    <w:p w:rsidR="00F402FC" w:rsidRDefault="00F402FC">
      <w:pPr>
        <w:spacing w:line="560" w:lineRule="exact"/>
        <w:ind w:firstLineChars="200" w:firstLine="640"/>
        <w:rPr>
          <w:rFonts w:ascii="黑体" w:eastAsia="黑体" w:hAnsi="Times New Roman" w:cs="黑体"/>
          <w:kern w:val="0"/>
          <w:sz w:val="32"/>
          <w:szCs w:val="32"/>
        </w:rPr>
      </w:pPr>
    </w:p>
    <w:p w:rsidR="00F402FC" w:rsidRDefault="00D95AB6">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w:t>
      </w:r>
      <w:r>
        <w:rPr>
          <w:rFonts w:ascii="仿宋_GB2312" w:eastAsia="仿宋_GB2312" w:hint="eastAsia"/>
          <w:sz w:val="32"/>
          <w:szCs w:val="32"/>
        </w:rPr>
        <w:t>经济分类科目预算，调整为按两套经济分类科目分别反映不同资金来源的全部预算支出。</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年发改发部门预算支出</w:t>
      </w:r>
      <w:r>
        <w:rPr>
          <w:rFonts w:ascii="仿宋_GB2312" w:eastAsia="仿宋_GB2312" w:hint="eastAsia"/>
          <w:sz w:val="32"/>
          <w:szCs w:val="32"/>
        </w:rPr>
        <w:t>318.26</w:t>
      </w:r>
      <w:r>
        <w:rPr>
          <w:rFonts w:ascii="仿宋_GB2312" w:eastAsia="仿宋_GB2312" w:hint="eastAsia"/>
          <w:sz w:val="32"/>
          <w:szCs w:val="32"/>
        </w:rPr>
        <w:t>万元，具体分为：</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301.77</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）、津贴补贴（款</w:t>
      </w:r>
      <w:r>
        <w:rPr>
          <w:rFonts w:ascii="仿宋_GB2312" w:eastAsia="仿宋_GB2312" w:hint="eastAsia"/>
          <w:sz w:val="32"/>
          <w:szCs w:val="32"/>
        </w:rPr>
        <w:t>02</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）、职工基本医疗保险缴费（款</w:t>
      </w:r>
      <w:r>
        <w:rPr>
          <w:rFonts w:ascii="仿宋_GB2312" w:eastAsia="仿宋_GB2312" w:hint="eastAsia"/>
          <w:sz w:val="32"/>
          <w:szCs w:val="32"/>
        </w:rPr>
        <w:lastRenderedPageBreak/>
        <w:t>10</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7.09</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），其他对个人和家庭的补助（款</w:t>
      </w:r>
      <w:r>
        <w:rPr>
          <w:rFonts w:ascii="仿宋_GB2312" w:eastAsia="仿宋_GB2312" w:hint="eastAsia"/>
          <w:sz w:val="32"/>
          <w:szCs w:val="32"/>
        </w:rPr>
        <w:t>99</w:t>
      </w:r>
      <w:r>
        <w:rPr>
          <w:rFonts w:ascii="仿宋_GB2312" w:eastAsia="仿宋_GB2312" w:hint="eastAsia"/>
          <w:sz w:val="32"/>
          <w:szCs w:val="32"/>
        </w:rPr>
        <w:t>）；</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9.4</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）、印刷费（款</w:t>
      </w:r>
      <w:r>
        <w:rPr>
          <w:rFonts w:ascii="仿宋_GB2312" w:eastAsia="仿宋_GB2312" w:hint="eastAsia"/>
          <w:sz w:val="32"/>
          <w:szCs w:val="32"/>
        </w:rPr>
        <w:t>02</w:t>
      </w:r>
      <w:r>
        <w:rPr>
          <w:rFonts w:ascii="仿宋_GB2312" w:eastAsia="仿宋_GB2312" w:hint="eastAsia"/>
          <w:sz w:val="32"/>
          <w:szCs w:val="32"/>
        </w:rPr>
        <w:t>）、手续费（款</w:t>
      </w:r>
      <w:r>
        <w:rPr>
          <w:rFonts w:ascii="仿宋_GB2312" w:eastAsia="仿宋_GB2312" w:hint="eastAsia"/>
          <w:sz w:val="32"/>
          <w:szCs w:val="32"/>
        </w:rPr>
        <w:t>04</w:t>
      </w:r>
      <w:r>
        <w:rPr>
          <w:rFonts w:ascii="仿宋_GB2312" w:eastAsia="仿宋_GB2312" w:hint="eastAsia"/>
          <w:sz w:val="32"/>
          <w:szCs w:val="32"/>
        </w:rPr>
        <w:t>）、邮电费（款</w:t>
      </w:r>
      <w:r>
        <w:rPr>
          <w:rFonts w:ascii="仿宋_GB2312" w:eastAsia="仿宋_GB2312" w:hint="eastAsia"/>
          <w:sz w:val="32"/>
          <w:szCs w:val="32"/>
        </w:rPr>
        <w:t>07</w:t>
      </w:r>
      <w:r>
        <w:rPr>
          <w:rFonts w:ascii="仿宋_GB2312" w:eastAsia="仿宋_GB2312" w:hint="eastAsia"/>
          <w:sz w:val="32"/>
          <w:szCs w:val="32"/>
        </w:rPr>
        <w:t>）、差旅费（款</w:t>
      </w:r>
      <w:r>
        <w:rPr>
          <w:rFonts w:ascii="仿宋_GB2312" w:eastAsia="仿宋_GB2312" w:hint="eastAsia"/>
          <w:sz w:val="32"/>
          <w:szCs w:val="32"/>
        </w:rPr>
        <w:t>11</w:t>
      </w:r>
      <w:r>
        <w:rPr>
          <w:rFonts w:ascii="仿宋_GB2312" w:eastAsia="仿宋_GB2312" w:hint="eastAsia"/>
          <w:sz w:val="32"/>
          <w:szCs w:val="32"/>
        </w:rPr>
        <w:t>）、会议费（款</w:t>
      </w:r>
      <w:r>
        <w:rPr>
          <w:rFonts w:ascii="仿宋_GB2312" w:eastAsia="仿宋_GB2312" w:hint="eastAsia"/>
          <w:sz w:val="32"/>
          <w:szCs w:val="32"/>
        </w:rPr>
        <w:t>15</w:t>
      </w:r>
      <w:r>
        <w:rPr>
          <w:rFonts w:ascii="仿宋_GB2312" w:eastAsia="仿宋_GB2312" w:hint="eastAsia"/>
          <w:sz w:val="32"/>
          <w:szCs w:val="32"/>
        </w:rPr>
        <w:t>）、培训费（款</w:t>
      </w:r>
      <w:r>
        <w:rPr>
          <w:rFonts w:ascii="仿宋_GB2312" w:eastAsia="仿宋_GB2312" w:hint="eastAsia"/>
          <w:sz w:val="32"/>
          <w:szCs w:val="32"/>
        </w:rPr>
        <w:t>16</w:t>
      </w:r>
      <w:r>
        <w:rPr>
          <w:rFonts w:ascii="仿宋_GB2312" w:eastAsia="仿宋_GB2312" w:hint="eastAsia"/>
          <w:sz w:val="32"/>
          <w:szCs w:val="32"/>
        </w:rPr>
        <w:t>）、福利费（款</w:t>
      </w:r>
      <w:r>
        <w:rPr>
          <w:rFonts w:ascii="仿宋_GB2312" w:eastAsia="仿宋_GB2312" w:hint="eastAsia"/>
          <w:sz w:val="32"/>
          <w:szCs w:val="32"/>
        </w:rPr>
        <w:t>29</w:t>
      </w:r>
      <w:r>
        <w:rPr>
          <w:rFonts w:ascii="仿宋_GB2312" w:eastAsia="仿宋_GB2312" w:hint="eastAsia"/>
          <w:sz w:val="32"/>
          <w:szCs w:val="32"/>
        </w:rPr>
        <w:t>）、其他交通费（款</w:t>
      </w:r>
      <w:r>
        <w:rPr>
          <w:rFonts w:ascii="仿宋_GB2312" w:eastAsia="仿宋_GB2312" w:hint="eastAsia"/>
          <w:sz w:val="32"/>
          <w:szCs w:val="32"/>
        </w:rPr>
        <w:t>39</w:t>
      </w:r>
      <w:r>
        <w:rPr>
          <w:rFonts w:ascii="仿宋_GB2312" w:eastAsia="仿宋_GB2312" w:hint="eastAsia"/>
          <w:sz w:val="32"/>
          <w:szCs w:val="32"/>
        </w:rPr>
        <w:t>）、其他商品和服务支出（款</w:t>
      </w:r>
      <w:r>
        <w:rPr>
          <w:rFonts w:ascii="仿宋_GB2312" w:eastAsia="仿宋_GB2312" w:hint="eastAsia"/>
          <w:sz w:val="32"/>
          <w:szCs w:val="32"/>
        </w:rPr>
        <w:t>99</w:t>
      </w:r>
      <w:r>
        <w:rPr>
          <w:rFonts w:ascii="仿宋_GB2312" w:eastAsia="仿宋_GB2312" w:hint="eastAsia"/>
          <w:sz w:val="32"/>
          <w:szCs w:val="32"/>
        </w:rPr>
        <w:t>）。</w:t>
      </w:r>
    </w:p>
    <w:p w:rsidR="00F402FC" w:rsidRDefault="00D95AB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（二）龙安区发改委</w:t>
      </w:r>
      <w:r>
        <w:rPr>
          <w:rFonts w:ascii="仿宋_GB2312" w:eastAsia="仿宋_GB2312" w:hint="eastAsia"/>
          <w:sz w:val="32"/>
          <w:szCs w:val="32"/>
        </w:rPr>
        <w:t>2020</w:t>
      </w:r>
      <w:r>
        <w:rPr>
          <w:rFonts w:ascii="仿宋_GB2312" w:eastAsia="仿宋_GB2312" w:hint="eastAsia"/>
          <w:sz w:val="32"/>
          <w:szCs w:val="32"/>
        </w:rPr>
        <w:t>年政府预算支出</w:t>
      </w:r>
      <w:r>
        <w:rPr>
          <w:rFonts w:ascii="仿宋_GB2312" w:eastAsia="仿宋_GB2312" w:hint="eastAsia"/>
          <w:sz w:val="32"/>
          <w:szCs w:val="32"/>
        </w:rPr>
        <w:t>318.26</w:t>
      </w:r>
      <w:r>
        <w:rPr>
          <w:rFonts w:ascii="仿宋_GB2312" w:eastAsia="仿宋_GB2312" w:hint="eastAsia"/>
          <w:sz w:val="32"/>
          <w:szCs w:val="32"/>
        </w:rPr>
        <w:t>万元。具体分为：</w:t>
      </w:r>
    </w:p>
    <w:p w:rsidR="00F402FC" w:rsidRDefault="00D95AB6">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机关工资福利支出（类</w:t>
      </w:r>
      <w:r>
        <w:rPr>
          <w:rFonts w:ascii="仿宋_GB2312" w:eastAsia="仿宋_GB2312" w:hAnsi="宋体" w:cs="Courier New" w:hint="eastAsia"/>
          <w:sz w:val="32"/>
          <w:szCs w:val="32"/>
        </w:rPr>
        <w:t>501</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301.77</w:t>
      </w:r>
      <w:r>
        <w:rPr>
          <w:rFonts w:ascii="仿宋_GB2312" w:eastAsia="仿宋_GB2312" w:hAnsi="宋体" w:cs="Courier New" w:hint="eastAsia"/>
          <w:sz w:val="32"/>
          <w:szCs w:val="32"/>
        </w:rPr>
        <w:t>万元，包括基本工资（款</w:t>
      </w:r>
      <w:r>
        <w:rPr>
          <w:rFonts w:ascii="仿宋_GB2312" w:eastAsia="仿宋_GB2312" w:hAnsi="宋体" w:cs="Courier New" w:hint="eastAsia"/>
          <w:sz w:val="32"/>
          <w:szCs w:val="32"/>
        </w:rPr>
        <w:t>01</w:t>
      </w:r>
      <w:r>
        <w:rPr>
          <w:rFonts w:ascii="仿宋_GB2312" w:eastAsia="仿宋_GB2312" w:hAnsi="宋体" w:cs="Courier New" w:hint="eastAsia"/>
          <w:sz w:val="32"/>
          <w:szCs w:val="32"/>
        </w:rPr>
        <w:t>）、津贴补贴（款</w:t>
      </w:r>
      <w:r>
        <w:rPr>
          <w:rFonts w:ascii="仿宋_GB2312" w:eastAsia="仿宋_GB2312" w:hAnsi="宋体" w:cs="Courier New" w:hint="eastAsia"/>
          <w:sz w:val="32"/>
          <w:szCs w:val="32"/>
        </w:rPr>
        <w:t>01</w:t>
      </w:r>
      <w:r>
        <w:rPr>
          <w:rFonts w:ascii="仿宋_GB2312" w:eastAsia="仿宋_GB2312" w:hAnsi="宋体" w:cs="Courier New" w:hint="eastAsia"/>
          <w:sz w:val="32"/>
          <w:szCs w:val="32"/>
        </w:rPr>
        <w:t>）、社会保障缴费（款</w:t>
      </w:r>
      <w:r>
        <w:rPr>
          <w:rFonts w:ascii="仿宋_GB2312" w:eastAsia="仿宋_GB2312" w:hAnsi="宋体" w:cs="Courier New" w:hint="eastAsia"/>
          <w:sz w:val="32"/>
          <w:szCs w:val="32"/>
        </w:rPr>
        <w:t>02</w:t>
      </w:r>
      <w:r>
        <w:rPr>
          <w:rFonts w:ascii="仿宋_GB2312" w:eastAsia="仿宋_GB2312" w:hAnsi="宋体" w:cs="Courier New" w:hint="eastAsia"/>
          <w:sz w:val="32"/>
          <w:szCs w:val="32"/>
        </w:rPr>
        <w:t>）、住房公积金（款</w:t>
      </w:r>
      <w:r>
        <w:rPr>
          <w:rFonts w:ascii="仿宋_GB2312" w:eastAsia="仿宋_GB2312" w:hAnsi="宋体" w:cs="Courier New" w:hint="eastAsia"/>
          <w:sz w:val="32"/>
          <w:szCs w:val="32"/>
        </w:rPr>
        <w:t>03</w:t>
      </w:r>
      <w:r>
        <w:rPr>
          <w:rFonts w:ascii="仿宋_GB2312" w:eastAsia="仿宋_GB2312" w:hAnsi="宋体" w:cs="Courier New" w:hint="eastAsia"/>
          <w:sz w:val="32"/>
          <w:szCs w:val="32"/>
        </w:rPr>
        <w:t>）。</w:t>
      </w:r>
    </w:p>
    <w:p w:rsidR="00F402FC" w:rsidRDefault="00D95AB6">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对个人和家庭补助支出（类</w:t>
      </w:r>
      <w:r>
        <w:rPr>
          <w:rFonts w:ascii="仿宋_GB2312" w:eastAsia="仿宋_GB2312" w:hAnsi="宋体" w:cs="Courier New" w:hint="eastAsia"/>
          <w:sz w:val="32"/>
          <w:szCs w:val="32"/>
        </w:rPr>
        <w:t>509</w:t>
      </w:r>
      <w:r>
        <w:rPr>
          <w:rFonts w:ascii="仿宋_GB2312" w:eastAsia="仿宋_GB2312" w:hAnsi="宋体" w:cs="Courier New" w:hint="eastAsia"/>
          <w:sz w:val="32"/>
          <w:szCs w:val="32"/>
        </w:rPr>
        <w:t>）</w:t>
      </w:r>
      <w:r>
        <w:rPr>
          <w:rFonts w:ascii="仿宋_GB2312" w:eastAsia="仿宋_GB2312" w:hAnsi="宋体" w:cs="Courier New" w:hint="eastAsia"/>
          <w:sz w:val="32"/>
          <w:szCs w:val="32"/>
        </w:rPr>
        <w:t>7.09</w:t>
      </w:r>
      <w:r>
        <w:rPr>
          <w:rFonts w:ascii="仿宋_GB2312" w:eastAsia="仿宋_GB2312" w:hAnsi="宋体" w:cs="Courier New" w:hint="eastAsia"/>
          <w:sz w:val="32"/>
          <w:szCs w:val="32"/>
        </w:rPr>
        <w:t>万元；包括离退休费（款</w:t>
      </w:r>
      <w:r>
        <w:rPr>
          <w:rFonts w:ascii="仿宋_GB2312" w:eastAsia="仿宋_GB2312" w:hAnsi="宋体" w:cs="Courier New" w:hint="eastAsia"/>
          <w:sz w:val="32"/>
          <w:szCs w:val="32"/>
        </w:rPr>
        <w:t>05</w:t>
      </w:r>
      <w:r>
        <w:rPr>
          <w:rFonts w:ascii="仿宋_GB2312" w:eastAsia="仿宋_GB2312" w:hAnsi="宋体" w:cs="Courier New" w:hint="eastAsia"/>
          <w:sz w:val="32"/>
          <w:szCs w:val="32"/>
        </w:rPr>
        <w:t>）。</w:t>
      </w:r>
    </w:p>
    <w:p w:rsidR="00F402FC" w:rsidRDefault="00D95AB6">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机关商品与服务支出（类</w:t>
      </w:r>
      <w:r>
        <w:rPr>
          <w:rFonts w:ascii="仿宋_GB2312" w:eastAsia="仿宋_GB2312" w:hAnsi="宋体" w:cs="Courier New" w:hint="eastAsia"/>
          <w:sz w:val="32"/>
          <w:szCs w:val="32"/>
        </w:rPr>
        <w:t>502</w:t>
      </w:r>
      <w:r>
        <w:rPr>
          <w:rFonts w:ascii="仿宋_GB2312" w:eastAsia="仿宋_GB2312" w:hAnsi="宋体" w:cs="Courier New" w:hint="eastAsia"/>
          <w:sz w:val="32"/>
          <w:szCs w:val="32"/>
        </w:rPr>
        <w:t>）</w:t>
      </w:r>
      <w:r>
        <w:rPr>
          <w:rFonts w:ascii="仿宋_GB2312" w:eastAsia="仿宋_GB2312" w:hAnsi="宋体" w:cs="Courier New" w:hint="eastAsia"/>
          <w:sz w:val="32"/>
          <w:szCs w:val="32"/>
        </w:rPr>
        <w:t>9.4</w:t>
      </w:r>
      <w:r>
        <w:rPr>
          <w:rFonts w:ascii="仿宋_GB2312" w:eastAsia="仿宋_GB2312" w:hAnsi="宋体" w:cs="Courier New" w:hint="eastAsia"/>
          <w:sz w:val="32"/>
          <w:szCs w:val="32"/>
        </w:rPr>
        <w:t>万元，包括办公经费（款</w:t>
      </w:r>
      <w:r>
        <w:rPr>
          <w:rFonts w:ascii="仿宋_GB2312" w:eastAsia="仿宋_GB2312" w:hAnsi="宋体" w:cs="Courier New" w:hint="eastAsia"/>
          <w:sz w:val="32"/>
          <w:szCs w:val="32"/>
        </w:rPr>
        <w:t>01</w:t>
      </w:r>
      <w:r>
        <w:rPr>
          <w:rFonts w:ascii="仿宋_GB2312" w:eastAsia="仿宋_GB2312" w:hAnsi="宋体" w:cs="Courier New" w:hint="eastAsia"/>
          <w:sz w:val="32"/>
          <w:szCs w:val="32"/>
        </w:rPr>
        <w:t>）、会议费（款</w:t>
      </w:r>
      <w:r>
        <w:rPr>
          <w:rFonts w:ascii="仿宋_GB2312" w:eastAsia="仿宋_GB2312" w:hAnsi="宋体" w:cs="Courier New" w:hint="eastAsia"/>
          <w:sz w:val="32"/>
          <w:szCs w:val="32"/>
        </w:rPr>
        <w:t>02</w:t>
      </w:r>
      <w:r>
        <w:rPr>
          <w:rFonts w:ascii="仿宋_GB2312" w:eastAsia="仿宋_GB2312" w:hAnsi="宋体" w:cs="Courier New" w:hint="eastAsia"/>
          <w:sz w:val="32"/>
          <w:szCs w:val="32"/>
        </w:rPr>
        <w:t>）、培训费（款</w:t>
      </w:r>
      <w:r>
        <w:rPr>
          <w:rFonts w:ascii="仿宋_GB2312" w:eastAsia="仿宋_GB2312" w:hAnsi="宋体" w:cs="Courier New" w:hint="eastAsia"/>
          <w:sz w:val="32"/>
          <w:szCs w:val="32"/>
        </w:rPr>
        <w:t>03</w:t>
      </w:r>
      <w:r>
        <w:rPr>
          <w:rFonts w:ascii="仿宋_GB2312" w:eastAsia="仿宋_GB2312" w:hAnsi="宋体" w:cs="Courier New" w:hint="eastAsia"/>
          <w:sz w:val="32"/>
          <w:szCs w:val="32"/>
        </w:rPr>
        <w:t>）、其他商品和服务支出（款</w:t>
      </w:r>
      <w:r>
        <w:rPr>
          <w:rFonts w:ascii="仿宋_GB2312" w:eastAsia="仿宋_GB2312" w:hAnsi="宋体" w:cs="Courier New" w:hint="eastAsia"/>
          <w:sz w:val="32"/>
          <w:szCs w:val="32"/>
        </w:rPr>
        <w:t>99</w:t>
      </w:r>
      <w:r>
        <w:rPr>
          <w:rFonts w:ascii="仿宋_GB2312" w:eastAsia="仿宋_GB2312" w:hAnsi="宋体" w:cs="Courier New" w:hint="eastAsia"/>
          <w:sz w:val="32"/>
          <w:szCs w:val="32"/>
        </w:rPr>
        <w:t>）。</w:t>
      </w:r>
    </w:p>
    <w:p w:rsidR="00F402FC" w:rsidRDefault="00F402FC">
      <w:pPr>
        <w:adjustRightInd w:val="0"/>
        <w:snapToGrid w:val="0"/>
        <w:spacing w:line="600" w:lineRule="exact"/>
        <w:ind w:firstLineChars="200" w:firstLine="640"/>
        <w:rPr>
          <w:rFonts w:ascii="仿宋_GB2312" w:eastAsia="仿宋_GB2312" w:hAnsi="宋体" w:cs="Courier New"/>
          <w:sz w:val="32"/>
          <w:szCs w:val="32"/>
        </w:rPr>
      </w:pPr>
    </w:p>
    <w:p w:rsidR="00F402FC" w:rsidRDefault="00D95AB6">
      <w:pPr>
        <w:spacing w:line="560" w:lineRule="exact"/>
        <w:rPr>
          <w:rFonts w:ascii="黑体" w:eastAsia="黑体" w:hAnsi="Times New Roman" w:cs="黑体"/>
          <w:kern w:val="0"/>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F402FC" w:rsidRDefault="00F402FC">
      <w:pPr>
        <w:spacing w:line="560" w:lineRule="exact"/>
        <w:ind w:leftChars="304" w:left="638"/>
        <w:rPr>
          <w:rFonts w:ascii="仿宋_GB2312" w:eastAsia="仿宋_GB2312"/>
          <w:sz w:val="32"/>
          <w:szCs w:val="32"/>
        </w:rPr>
      </w:pPr>
    </w:p>
    <w:p w:rsidR="00F402FC" w:rsidRDefault="00D95AB6">
      <w:pPr>
        <w:spacing w:line="560" w:lineRule="exact"/>
        <w:ind w:leftChars="304" w:left="638"/>
        <w:rPr>
          <w:rFonts w:ascii="仿宋_GB2312" w:eastAsia="仿宋_GB2312"/>
          <w:sz w:val="32"/>
          <w:szCs w:val="32"/>
        </w:rPr>
      </w:pPr>
      <w:r>
        <w:rPr>
          <w:rFonts w:ascii="黑体" w:eastAsia="黑体" w:hAnsi="Times New Roman" w:cs="黑体" w:hint="eastAsia"/>
          <w:kern w:val="0"/>
          <w:sz w:val="32"/>
          <w:szCs w:val="32"/>
        </w:rPr>
        <w:lastRenderedPageBreak/>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F402FC" w:rsidRDefault="00D95AB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龙安区发改委</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4.5</w:t>
      </w:r>
      <w:r>
        <w:rPr>
          <w:rFonts w:ascii="仿宋_GB2312" w:eastAsia="仿宋_GB2312" w:hAnsi="宋体" w:cs="Courier New" w:hint="eastAsia"/>
          <w:sz w:val="32"/>
          <w:szCs w:val="32"/>
        </w:rPr>
        <w:t>万元。</w:t>
      </w:r>
    </w:p>
    <w:p w:rsidR="00F402FC" w:rsidRDefault="00D95AB6">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F402FC" w:rsidRDefault="00D95AB6" w:rsidP="00D21A00">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Ansi="Times New Roman" w:cs="仿宋_GB2312" w:hint="eastAsia"/>
          <w:b/>
          <w:spacing w:val="-1"/>
          <w:kern w:val="0"/>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年相比，减少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万元。主要原因无因公出国。</w:t>
      </w:r>
    </w:p>
    <w:p w:rsidR="00F402FC" w:rsidRDefault="00D95AB6" w:rsidP="00D21A00">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Ansi="Times New Roman" w:cs="仿宋_GB2312" w:hint="eastAsia"/>
          <w:b/>
          <w:spacing w:val="-1"/>
          <w:kern w:val="0"/>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 2019 </w:t>
      </w:r>
      <w:r>
        <w:rPr>
          <w:rFonts w:ascii="仿宋_GB2312" w:eastAsia="仿宋_GB2312" w:hAnsi="宋体" w:cs="Courier New" w:hint="eastAsia"/>
          <w:sz w:val="32"/>
          <w:szCs w:val="32"/>
        </w:rPr>
        <w:t>年相比，减少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4.5</w:t>
      </w:r>
      <w:r>
        <w:rPr>
          <w:rFonts w:ascii="仿宋_GB2312" w:eastAsia="仿宋_GB2312" w:hAnsi="宋体" w:cs="Courier New" w:hint="eastAsia"/>
          <w:sz w:val="32"/>
          <w:szCs w:val="32"/>
        </w:rPr>
        <w:t>万元，主要原因：财政资金紧张，压缩开支。</w:t>
      </w:r>
    </w:p>
    <w:p w:rsidR="00F402FC" w:rsidRDefault="00D95AB6" w:rsidP="00D21A00">
      <w:pPr>
        <w:kinsoku w:val="0"/>
        <w:overflowPunct w:val="0"/>
        <w:autoSpaceDE w:val="0"/>
        <w:autoSpaceDN w:val="0"/>
        <w:adjustRightInd w:val="0"/>
        <w:snapToGrid w:val="0"/>
        <w:spacing w:line="360" w:lineRule="auto"/>
        <w:ind w:firstLineChars="200" w:firstLine="638"/>
        <w:rPr>
          <w:rFonts w:ascii="仿宋_GB2312" w:eastAsia="仿宋_GB2312" w:hAnsi="宋体" w:cs="Courier New"/>
          <w:spacing w:val="-6"/>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Ansi="Times New Roman" w:cs="仿宋_GB2312" w:hint="eastAsia"/>
          <w:b/>
          <w:spacing w:val="-1"/>
          <w:kern w:val="0"/>
          <w:sz w:val="32"/>
          <w:szCs w:val="32"/>
        </w:rPr>
        <w:t>0</w:t>
      </w:r>
      <w:r>
        <w:rPr>
          <w:rFonts w:ascii="仿宋_GB2312" w:eastAsia="仿宋_GB2312" w:hAnsi="宋体" w:cs="Courier New" w:hint="eastAsia"/>
          <w:sz w:val="32"/>
          <w:szCs w:val="32"/>
        </w:rPr>
        <w:t>万元，主要用于按规定</w:t>
      </w:r>
      <w:r>
        <w:rPr>
          <w:rFonts w:ascii="仿宋_GB2312" w:eastAsia="仿宋_GB2312" w:hAnsi="宋体" w:cs="Courier New" w:hint="eastAsia"/>
          <w:sz w:val="32"/>
          <w:szCs w:val="32"/>
        </w:rPr>
        <w:t>开支的各类公务接待（含外宾接待）支出。公务接待费预算数比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pacing w:val="-6"/>
          <w:sz w:val="32"/>
          <w:szCs w:val="32"/>
        </w:rPr>
        <w:t>年减少</w:t>
      </w:r>
      <w:r>
        <w:rPr>
          <w:rFonts w:ascii="仿宋_GB2312" w:eastAsia="仿宋_GB2312" w:hAnsi="宋体" w:cs="Courier New" w:hint="eastAsia"/>
          <w:spacing w:val="-6"/>
          <w:sz w:val="32"/>
          <w:szCs w:val="32"/>
        </w:rPr>
        <w:t>0</w:t>
      </w:r>
      <w:r>
        <w:rPr>
          <w:rFonts w:ascii="仿宋_GB2312" w:eastAsia="仿宋_GB2312" w:hAnsi="宋体" w:cs="Courier New" w:hint="eastAsia"/>
          <w:spacing w:val="-6"/>
          <w:sz w:val="32"/>
          <w:szCs w:val="32"/>
        </w:rPr>
        <w:t>万元。主要原因财政资金紧张，压缩开支。</w:t>
      </w:r>
    </w:p>
    <w:p w:rsidR="00F402FC" w:rsidRDefault="00F402FC">
      <w:pPr>
        <w:kinsoku w:val="0"/>
        <w:overflowPunct w:val="0"/>
        <w:autoSpaceDE w:val="0"/>
        <w:autoSpaceDN w:val="0"/>
        <w:adjustRightInd w:val="0"/>
        <w:snapToGrid w:val="0"/>
        <w:spacing w:line="360" w:lineRule="auto"/>
        <w:ind w:firstLineChars="200" w:firstLine="636"/>
        <w:rPr>
          <w:rFonts w:ascii="黑体" w:eastAsia="黑体" w:hAnsi="Times New Roman" w:cs="黑体"/>
          <w:spacing w:val="-1"/>
          <w:kern w:val="0"/>
          <w:sz w:val="32"/>
          <w:szCs w:val="32"/>
        </w:rPr>
      </w:pPr>
    </w:p>
    <w:p w:rsidR="00F402FC" w:rsidRDefault="00D95AB6">
      <w:pPr>
        <w:kinsoku w:val="0"/>
        <w:overflowPunct w:val="0"/>
        <w:autoSpaceDE w:val="0"/>
        <w:autoSpaceDN w:val="0"/>
        <w:adjustRightInd w:val="0"/>
        <w:snapToGrid w:val="0"/>
        <w:spacing w:line="360" w:lineRule="auto"/>
        <w:ind w:firstLineChars="200" w:firstLine="636"/>
        <w:rPr>
          <w:rFonts w:ascii="黑体" w:eastAsia="黑体" w:hAnsi="Times New Roman" w:cs="黑体"/>
          <w:spacing w:val="-1"/>
          <w:kern w:val="0"/>
          <w:sz w:val="32"/>
          <w:szCs w:val="32"/>
        </w:rPr>
      </w:pPr>
      <w:r>
        <w:rPr>
          <w:rFonts w:ascii="黑体" w:eastAsia="黑体" w:hAnsi="Times New Roman" w:cs="黑体" w:hint="eastAsia"/>
          <w:spacing w:val="-1"/>
          <w:kern w:val="0"/>
          <w:sz w:val="32"/>
          <w:szCs w:val="32"/>
        </w:rPr>
        <w:t>九、其他重要事项的情况说明</w:t>
      </w:r>
    </w:p>
    <w:p w:rsidR="00F402FC" w:rsidRDefault="00D95AB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Ansi="宋体" w:cs="Courier New" w:hint="eastAsia"/>
          <w:sz w:val="32"/>
          <w:szCs w:val="32"/>
        </w:rPr>
        <w:t>发改委部门</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Ansi="宋体" w:cs="Courier New" w:hint="eastAsia"/>
          <w:sz w:val="32"/>
          <w:szCs w:val="32"/>
        </w:rPr>
        <w:t>9.4</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F402FC" w:rsidRDefault="00D95AB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F402FC" w:rsidRDefault="00D95AB6">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lastRenderedPageBreak/>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F402FC" w:rsidRDefault="00D95AB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F402FC" w:rsidRDefault="00D95AB6">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年，我部门未开展项目预算绩效项目评价。</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年按政策要求当年投资</w:t>
      </w:r>
      <w:r>
        <w:rPr>
          <w:rFonts w:ascii="仿宋_GB2312" w:eastAsia="仿宋_GB2312" w:hAnsi="宋体" w:cs="Courier New" w:hint="eastAsia"/>
          <w:sz w:val="32"/>
          <w:szCs w:val="32"/>
        </w:rPr>
        <w:t>200</w:t>
      </w:r>
      <w:r>
        <w:rPr>
          <w:rFonts w:ascii="仿宋_GB2312" w:eastAsia="仿宋_GB2312" w:hAnsi="宋体" w:cs="Courier New" w:hint="eastAsia"/>
          <w:sz w:val="32"/>
          <w:szCs w:val="32"/>
        </w:rPr>
        <w:t>万以上新项目需开展项目预算绩效评价，我部门编制绩效目标的预算项目</w:t>
      </w:r>
      <w:r>
        <w:rPr>
          <w:rFonts w:ascii="仿宋_GB2312" w:eastAsia="仿宋_GB2312" w:hAnsi="宋体" w:cs="Courier New" w:hint="eastAsia"/>
          <w:sz w:val="32"/>
          <w:szCs w:val="32"/>
        </w:rPr>
        <w:t>0</w:t>
      </w:r>
      <w:r>
        <w:rPr>
          <w:rFonts w:ascii="仿宋_GB2312" w:eastAsia="仿宋_GB2312" w:hAnsi="宋体" w:cs="Courier New" w:hint="eastAsia"/>
          <w:sz w:val="32"/>
          <w:szCs w:val="32"/>
        </w:rPr>
        <w:t>个，预算资金共</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F402FC" w:rsidRDefault="00D95AB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年末，我部门共有车辆</w:t>
      </w:r>
      <w:r>
        <w:rPr>
          <w:rFonts w:ascii="仿宋_GB2312" w:eastAsia="仿宋_GB2312" w:hAnsi="宋体" w:cs="Courier New" w:hint="eastAsia"/>
          <w:sz w:val="32"/>
          <w:szCs w:val="32"/>
        </w:rPr>
        <w:t>1</w:t>
      </w:r>
      <w:r>
        <w:rPr>
          <w:rFonts w:ascii="仿宋_GB2312" w:eastAsia="仿宋_GB2312" w:hAnsi="宋体" w:cs="Courier New" w:hint="eastAsia"/>
          <w:sz w:val="32"/>
          <w:szCs w:val="32"/>
        </w:rPr>
        <w:t>辆，其中：一般公务用车</w:t>
      </w:r>
      <w:r>
        <w:rPr>
          <w:rFonts w:ascii="仿宋_GB2312" w:eastAsia="仿宋_GB2312" w:hAnsi="宋体" w:cs="Courier New" w:hint="eastAsia"/>
          <w:sz w:val="32"/>
          <w:szCs w:val="32"/>
        </w:rPr>
        <w:t>1</w:t>
      </w:r>
      <w:r>
        <w:rPr>
          <w:rFonts w:ascii="仿宋_GB2312" w:eastAsia="仿宋_GB2312" w:hAnsi="宋体" w:cs="Courier New" w:hint="eastAsia"/>
          <w:sz w:val="32"/>
          <w:szCs w:val="32"/>
        </w:rPr>
        <w:t>辆、一般执法执勤用车</w:t>
      </w:r>
      <w:r>
        <w:rPr>
          <w:rFonts w:ascii="仿宋_GB2312" w:eastAsia="仿宋_GB2312" w:hAnsi="宋体" w:cs="Courier New" w:hint="eastAsia"/>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hint="eastAsia"/>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hint="eastAsia"/>
          <w:sz w:val="32"/>
          <w:szCs w:val="32"/>
        </w:rPr>
        <w:t>0</w:t>
      </w:r>
      <w:r>
        <w:rPr>
          <w:rFonts w:ascii="仿宋_GB2312" w:eastAsia="仿宋_GB2312" w:hAnsi="宋体" w:cs="Courier New" w:hint="eastAsia"/>
          <w:sz w:val="32"/>
          <w:szCs w:val="32"/>
        </w:rPr>
        <w:t>台（套）。</w:t>
      </w:r>
    </w:p>
    <w:p w:rsidR="00F402FC" w:rsidRDefault="00D95AB6">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我部门负责管理的专项转移支付项目共有</w:t>
      </w:r>
      <w:r>
        <w:rPr>
          <w:rFonts w:ascii="仿宋_GB2312" w:eastAsia="仿宋_GB2312" w:hAnsi="宋体" w:cs="Courier New" w:hint="eastAsia"/>
          <w:sz w:val="32"/>
          <w:szCs w:val="32"/>
        </w:rPr>
        <w:t>1</w:t>
      </w:r>
      <w:r>
        <w:rPr>
          <w:rFonts w:ascii="仿宋_GB2312" w:eastAsia="仿宋_GB2312" w:hint="eastAsia"/>
          <w:sz w:val="32"/>
          <w:szCs w:val="32"/>
        </w:rPr>
        <w:t>项，</w:t>
      </w:r>
      <w:r>
        <w:rPr>
          <w:rFonts w:ascii="仿宋_GB2312" w:eastAsia="仿宋_GB2312" w:hAnsi="宋体" w:cs="Courier New" w:hint="eastAsia"/>
          <w:sz w:val="32"/>
          <w:szCs w:val="32"/>
        </w:rPr>
        <w:t>主要是：双替代运行和设备补贴</w:t>
      </w:r>
      <w:r>
        <w:rPr>
          <w:rFonts w:ascii="仿宋_GB2312" w:eastAsia="仿宋_GB2312" w:hint="eastAsia"/>
          <w:sz w:val="32"/>
          <w:szCs w:val="32"/>
        </w:rPr>
        <w:t>项目</w:t>
      </w:r>
      <w:r>
        <w:rPr>
          <w:rFonts w:ascii="仿宋_GB2312" w:eastAsia="仿宋_GB2312" w:hint="eastAsia"/>
          <w:sz w:val="32"/>
          <w:szCs w:val="32"/>
        </w:rPr>
        <w:t>1500</w:t>
      </w:r>
      <w:r>
        <w:rPr>
          <w:rFonts w:ascii="仿宋_GB2312" w:eastAsia="仿宋_GB2312" w:hAnsi="宋体" w:cs="Courier New" w:hint="eastAsia"/>
          <w:sz w:val="32"/>
          <w:szCs w:val="32"/>
        </w:rPr>
        <w:t>万元。我部门将按照《预算法》等有关规定，积极做好项目分配前期准备工作，在规定的时间内向财政部门提出资金分配意见，根据有关要求做好项目申报公开等相关工作。</w:t>
      </w:r>
    </w:p>
    <w:p w:rsidR="00F402FC" w:rsidRDefault="00D95AB6">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F402FC" w:rsidRDefault="00D95AB6">
      <w:pPr>
        <w:adjustRightInd w:val="0"/>
        <w:snapToGrid w:val="0"/>
        <w:spacing w:line="360" w:lineRule="auto"/>
        <w:ind w:firstLineChars="200" w:firstLine="640"/>
        <w:jc w:val="left"/>
        <w:rPr>
          <w:rFonts w:ascii="楷体_GB2312" w:eastAsia="楷体_GB2312" w:hAnsi="Times New Roman" w:cs="仿宋_GB2312"/>
          <w:kern w:val="0"/>
          <w:sz w:val="32"/>
          <w:szCs w:val="32"/>
        </w:rPr>
      </w:pPr>
      <w:r>
        <w:rPr>
          <w:rFonts w:ascii="楷体_GB2312" w:eastAsia="楷体_GB2312" w:hAnsi="Times New Roman" w:cs="仿宋_GB2312" w:hint="eastAsia"/>
          <w:kern w:val="0"/>
          <w:sz w:val="32"/>
          <w:szCs w:val="32"/>
        </w:rPr>
        <w:t>龙安区发改委</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年年初未安排专项扶贫项目资金。</w:t>
      </w:r>
    </w:p>
    <w:p w:rsidR="00F402FC" w:rsidRDefault="00F402FC">
      <w:pPr>
        <w:adjustRightInd w:val="0"/>
        <w:snapToGrid w:val="0"/>
        <w:spacing w:line="360" w:lineRule="auto"/>
        <w:ind w:firstLineChars="200" w:firstLine="640"/>
        <w:jc w:val="left"/>
        <w:rPr>
          <w:rFonts w:ascii="楷体_GB2312" w:eastAsia="楷体_GB2312" w:hAnsi="Times New Roman" w:cs="仿宋_GB2312"/>
          <w:kern w:val="0"/>
          <w:sz w:val="32"/>
          <w:szCs w:val="32"/>
        </w:rPr>
      </w:pPr>
    </w:p>
    <w:p w:rsidR="00F402FC" w:rsidRDefault="00D95AB6">
      <w:pPr>
        <w:rPr>
          <w:rFonts w:ascii="楷体_GB2312" w:eastAsia="楷体_GB2312" w:hAnsi="Times New Roman" w:cs="仿宋_GB2312"/>
          <w:kern w:val="0"/>
          <w:sz w:val="32"/>
          <w:szCs w:val="32"/>
        </w:rPr>
      </w:pPr>
      <w:r>
        <w:rPr>
          <w:rFonts w:ascii="楷体_GB2312" w:eastAsia="楷体_GB2312" w:hAnsi="Times New Roman" w:cs="仿宋_GB2312" w:hint="eastAsia"/>
          <w:kern w:val="0"/>
          <w:sz w:val="32"/>
          <w:szCs w:val="32"/>
        </w:rPr>
        <w:lastRenderedPageBreak/>
        <w:br w:type="page"/>
      </w:r>
    </w:p>
    <w:p w:rsidR="00F402FC" w:rsidRDefault="00D95AB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第三部分主要名词解释</w:t>
      </w:r>
    </w:p>
    <w:p w:rsidR="00F402FC" w:rsidRDefault="00F402FC">
      <w:pPr>
        <w:adjustRightInd w:val="0"/>
        <w:snapToGrid w:val="0"/>
        <w:spacing w:line="360" w:lineRule="auto"/>
        <w:jc w:val="center"/>
        <w:rPr>
          <w:rFonts w:ascii="黑体" w:eastAsia="黑体" w:hAnsi="黑体"/>
          <w:sz w:val="32"/>
          <w:szCs w:val="32"/>
        </w:rPr>
      </w:pP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w:t>
      </w:r>
      <w:r>
        <w:rPr>
          <w:rFonts w:ascii="仿宋_GB2312" w:eastAsia="仿宋_GB2312" w:hAnsi="宋体" w:cs="Courier New" w:hint="eastAsia"/>
          <w:sz w:val="32"/>
          <w:szCs w:val="32"/>
        </w:rPr>
        <w:t>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w:t>
      </w:r>
      <w:r>
        <w:rPr>
          <w:rFonts w:ascii="仿宋_GB2312" w:eastAsia="仿宋_GB2312" w:hAnsi="宋体" w:cs="Courier New" w:hint="eastAsia"/>
          <w:sz w:val="32"/>
          <w:szCs w:val="32"/>
        </w:rPr>
        <w:lastRenderedPageBreak/>
        <w:t>支出；公务用车购置及运行费反映单位公务用车购置费及租用费、燃料费、维修费、过路过桥费、保险费、安全奖励费用等支出；公务接待费反映单位按规定开支的各类公务接待（含外宾接待）支出。</w:t>
      </w:r>
    </w:p>
    <w:p w:rsidR="00F402FC" w:rsidRDefault="00D95AB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w:t>
      </w:r>
      <w:r>
        <w:rPr>
          <w:rFonts w:ascii="仿宋_GB2312" w:eastAsia="仿宋_GB2312" w:hAnsi="宋体" w:cs="Courier New" w:hint="eastAsia"/>
          <w:sz w:val="32"/>
          <w:szCs w:val="32"/>
        </w:rPr>
        <w:t>旅费、会议费、福利费、日常维修费及一般设备购置费、办公用房水电费、办公用房取暖费、办公用房物业管理费、公务用车运行维护费以及其他费用。</w:t>
      </w:r>
    </w:p>
    <w:p w:rsidR="00F402FC" w:rsidRDefault="00F402F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F402FC" w:rsidRDefault="00D95AB6">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F402FC" w:rsidRDefault="00F402FC">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F402FC" w:rsidRDefault="00D95AB6">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附件：发改委部门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F402FC" w:rsidRDefault="00F402FC">
      <w:pPr>
        <w:adjustRightInd w:val="0"/>
        <w:snapToGrid w:val="0"/>
        <w:spacing w:line="360" w:lineRule="auto"/>
        <w:rPr>
          <w:rFonts w:ascii="仿宋_GB2312" w:eastAsia="仿宋_GB2312" w:hAnsi="仿宋_GB2312" w:cs="仿宋_GB2312"/>
          <w:sz w:val="32"/>
          <w:szCs w:val="32"/>
        </w:rPr>
      </w:pPr>
    </w:p>
    <w:p w:rsidR="00F402FC" w:rsidRDefault="00F402FC">
      <w:pPr>
        <w:adjustRightInd w:val="0"/>
        <w:snapToGrid w:val="0"/>
        <w:spacing w:line="360" w:lineRule="auto"/>
        <w:rPr>
          <w:rFonts w:ascii="仿宋_GB2312" w:eastAsia="仿宋_GB2312" w:hAnsi="仿宋_GB2312" w:cs="仿宋_GB2312"/>
          <w:sz w:val="32"/>
          <w:szCs w:val="32"/>
        </w:rPr>
      </w:pPr>
    </w:p>
    <w:p w:rsidR="00F402FC" w:rsidRDefault="00F402FC">
      <w:pPr>
        <w:adjustRightInd w:val="0"/>
        <w:snapToGrid w:val="0"/>
        <w:spacing w:line="360" w:lineRule="auto"/>
        <w:rPr>
          <w:rFonts w:ascii="仿宋_GB2312" w:eastAsia="仿宋_GB2312" w:hAnsi="仿宋_GB2312" w:cs="仿宋_GB2312"/>
          <w:sz w:val="32"/>
          <w:szCs w:val="32"/>
        </w:rPr>
        <w:sectPr w:rsidR="00F402FC">
          <w:footerReference w:type="default" r:id="rId10"/>
          <w:pgSz w:w="11906" w:h="16838"/>
          <w:pgMar w:top="1440" w:right="1800" w:bottom="1440" w:left="1800" w:header="851" w:footer="992" w:gutter="0"/>
          <w:cols w:space="425"/>
          <w:docGrid w:type="lines" w:linePitch="312"/>
        </w:sectPr>
      </w:pPr>
    </w:p>
    <w:p w:rsidR="00F402FC" w:rsidRDefault="00D95AB6">
      <w:pPr>
        <w:adjustRightInd w:val="0"/>
        <w:snapToGrid w:val="0"/>
        <w:spacing w:line="360" w:lineRule="auto"/>
      </w:pPr>
      <w:r>
        <w:rPr>
          <w:noProof/>
        </w:rPr>
        <w:lastRenderedPageBreak/>
        <w:drawing>
          <wp:inline distT="0" distB="0" distL="114300" distR="114300">
            <wp:extent cx="13564870" cy="6010910"/>
            <wp:effectExtent l="0" t="0" r="1778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13564870" cy="6010910"/>
                    </a:xfrm>
                    <a:prstGeom prst="rect">
                      <a:avLst/>
                    </a:prstGeom>
                    <a:noFill/>
                    <a:ln>
                      <a:noFill/>
                    </a:ln>
                  </pic:spPr>
                </pic:pic>
              </a:graphicData>
            </a:graphic>
          </wp:inline>
        </w:drawing>
      </w:r>
    </w:p>
    <w:p w:rsidR="00F402FC" w:rsidRDefault="00F402FC">
      <w:pPr>
        <w:adjustRightInd w:val="0"/>
        <w:snapToGrid w:val="0"/>
        <w:spacing w:line="360" w:lineRule="auto"/>
      </w:pPr>
    </w:p>
    <w:p w:rsidR="00F402FC" w:rsidRDefault="00D95AB6">
      <w:pPr>
        <w:adjustRightInd w:val="0"/>
        <w:snapToGrid w:val="0"/>
        <w:spacing w:line="360" w:lineRule="auto"/>
      </w:pPr>
      <w:r>
        <w:rPr>
          <w:noProof/>
        </w:rPr>
        <w:drawing>
          <wp:inline distT="0" distB="0" distL="114300" distR="114300">
            <wp:extent cx="8853170" cy="1801495"/>
            <wp:effectExtent l="0" t="0" r="508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tretch>
                      <a:fillRect/>
                    </a:stretch>
                  </pic:blipFill>
                  <pic:spPr>
                    <a:xfrm>
                      <a:off x="0" y="0"/>
                      <a:ext cx="8853170" cy="1801495"/>
                    </a:xfrm>
                    <a:prstGeom prst="rect">
                      <a:avLst/>
                    </a:prstGeom>
                    <a:noFill/>
                    <a:ln>
                      <a:noFill/>
                    </a:ln>
                  </pic:spPr>
                </pic:pic>
              </a:graphicData>
            </a:graphic>
          </wp:inline>
        </w:drawing>
      </w: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D95AB6">
      <w:pPr>
        <w:adjustRightInd w:val="0"/>
        <w:snapToGrid w:val="0"/>
        <w:spacing w:line="360" w:lineRule="auto"/>
      </w:pPr>
      <w:r>
        <w:rPr>
          <w:noProof/>
        </w:rPr>
        <w:lastRenderedPageBreak/>
        <w:drawing>
          <wp:inline distT="0" distB="0" distL="114300" distR="114300">
            <wp:extent cx="8860155" cy="2421255"/>
            <wp:effectExtent l="0" t="0" r="17145"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cstate="print"/>
                    <a:stretch>
                      <a:fillRect/>
                    </a:stretch>
                  </pic:blipFill>
                  <pic:spPr>
                    <a:xfrm>
                      <a:off x="0" y="0"/>
                      <a:ext cx="8860155" cy="2421255"/>
                    </a:xfrm>
                    <a:prstGeom prst="rect">
                      <a:avLst/>
                    </a:prstGeom>
                    <a:noFill/>
                    <a:ln>
                      <a:noFill/>
                    </a:ln>
                  </pic:spPr>
                </pic:pic>
              </a:graphicData>
            </a:graphic>
          </wp:inline>
        </w:drawing>
      </w: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sectPr w:rsidR="00F402FC">
          <w:pgSz w:w="16838" w:h="11906" w:orient="landscape"/>
          <w:pgMar w:top="1080" w:right="1440" w:bottom="1080" w:left="1440" w:header="851" w:footer="992" w:gutter="0"/>
          <w:cols w:space="425"/>
          <w:docGrid w:type="lines" w:linePitch="312"/>
        </w:sectPr>
      </w:pPr>
    </w:p>
    <w:p w:rsidR="00F402FC" w:rsidRDefault="00D95AB6">
      <w:pPr>
        <w:adjustRightInd w:val="0"/>
        <w:snapToGrid w:val="0"/>
        <w:spacing w:line="360" w:lineRule="auto"/>
        <w:sectPr w:rsidR="00F402FC">
          <w:pgSz w:w="16838" w:h="11906" w:orient="landscape"/>
          <w:pgMar w:top="1080" w:right="1440" w:bottom="1080" w:left="1440" w:header="851" w:footer="992" w:gutter="0"/>
          <w:cols w:space="425"/>
          <w:docGrid w:type="lines" w:linePitch="312"/>
        </w:sectPr>
      </w:pPr>
      <w:r>
        <w:rPr>
          <w:noProof/>
        </w:rPr>
        <w:lastRenderedPageBreak/>
        <w:drawing>
          <wp:inline distT="0" distB="0" distL="114300" distR="114300">
            <wp:extent cx="8858885" cy="4710430"/>
            <wp:effectExtent l="0" t="0" r="18415"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stretch>
                      <a:fillRect/>
                    </a:stretch>
                  </pic:blipFill>
                  <pic:spPr>
                    <a:xfrm>
                      <a:off x="0" y="0"/>
                      <a:ext cx="8858885" cy="4710430"/>
                    </a:xfrm>
                    <a:prstGeom prst="rect">
                      <a:avLst/>
                    </a:prstGeom>
                    <a:noFill/>
                    <a:ln>
                      <a:noFill/>
                    </a:ln>
                  </pic:spPr>
                </pic:pic>
              </a:graphicData>
            </a:graphic>
          </wp:inline>
        </w:drawing>
      </w:r>
    </w:p>
    <w:p w:rsidR="00F402FC" w:rsidRDefault="00D95AB6">
      <w:pPr>
        <w:adjustRightInd w:val="0"/>
        <w:snapToGrid w:val="0"/>
        <w:spacing w:line="360" w:lineRule="auto"/>
        <w:sectPr w:rsidR="00F402FC">
          <w:pgSz w:w="16838" w:h="11906" w:orient="landscape"/>
          <w:pgMar w:top="1080" w:right="1440" w:bottom="1080" w:left="1440" w:header="851" w:footer="992" w:gutter="0"/>
          <w:cols w:space="425"/>
          <w:docGrid w:type="lines" w:linePitch="312"/>
        </w:sectPr>
      </w:pPr>
      <w:r>
        <w:rPr>
          <w:noProof/>
        </w:rPr>
        <w:lastRenderedPageBreak/>
        <w:drawing>
          <wp:inline distT="0" distB="0" distL="114300" distR="114300">
            <wp:extent cx="8848725" cy="267652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cstate="print"/>
                    <a:stretch>
                      <a:fillRect/>
                    </a:stretch>
                  </pic:blipFill>
                  <pic:spPr>
                    <a:xfrm>
                      <a:off x="0" y="0"/>
                      <a:ext cx="8848725" cy="2676525"/>
                    </a:xfrm>
                    <a:prstGeom prst="rect">
                      <a:avLst/>
                    </a:prstGeom>
                    <a:noFill/>
                    <a:ln>
                      <a:noFill/>
                    </a:ln>
                  </pic:spPr>
                </pic:pic>
              </a:graphicData>
            </a:graphic>
          </wp:inline>
        </w:drawing>
      </w:r>
    </w:p>
    <w:p w:rsidR="00F402FC" w:rsidRDefault="00D95AB6">
      <w:pPr>
        <w:adjustRightInd w:val="0"/>
        <w:snapToGrid w:val="0"/>
        <w:spacing w:line="360" w:lineRule="auto"/>
        <w:sectPr w:rsidR="00F402FC">
          <w:pgSz w:w="16838" w:h="11906" w:orient="landscape"/>
          <w:pgMar w:top="1080" w:right="1440" w:bottom="1080" w:left="1440" w:header="851" w:footer="992" w:gutter="0"/>
          <w:cols w:space="425"/>
          <w:docGrid w:type="lines" w:linePitch="312"/>
        </w:sectPr>
      </w:pPr>
      <w:r>
        <w:rPr>
          <w:noProof/>
        </w:rPr>
        <w:lastRenderedPageBreak/>
        <w:drawing>
          <wp:inline distT="0" distB="0" distL="114300" distR="114300">
            <wp:extent cx="64174370" cy="6146800"/>
            <wp:effectExtent l="0" t="0" r="0" b="635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6" cstate="print"/>
                    <a:stretch>
                      <a:fillRect/>
                    </a:stretch>
                  </pic:blipFill>
                  <pic:spPr>
                    <a:xfrm>
                      <a:off x="0" y="0"/>
                      <a:ext cx="64174370" cy="6146800"/>
                    </a:xfrm>
                    <a:prstGeom prst="rect">
                      <a:avLst/>
                    </a:prstGeom>
                    <a:noFill/>
                    <a:ln>
                      <a:noFill/>
                    </a:ln>
                  </pic:spPr>
                </pic:pic>
              </a:graphicData>
            </a:graphic>
          </wp:inline>
        </w:drawing>
      </w:r>
    </w:p>
    <w:p w:rsidR="00F402FC" w:rsidRDefault="00D95AB6">
      <w:pPr>
        <w:adjustRightInd w:val="0"/>
        <w:snapToGrid w:val="0"/>
        <w:spacing w:line="360" w:lineRule="auto"/>
        <w:sectPr w:rsidR="00F402FC">
          <w:pgSz w:w="16838" w:h="11906" w:orient="landscape"/>
          <w:pgMar w:top="1080" w:right="1440" w:bottom="1080" w:left="1440" w:header="851" w:footer="992" w:gutter="0"/>
          <w:cols w:space="425"/>
          <w:docGrid w:type="lines" w:linePitch="312"/>
        </w:sectPr>
      </w:pPr>
      <w:r>
        <w:rPr>
          <w:noProof/>
        </w:rPr>
        <w:lastRenderedPageBreak/>
        <w:drawing>
          <wp:inline distT="0" distB="0" distL="114300" distR="114300">
            <wp:extent cx="8855710" cy="2893695"/>
            <wp:effectExtent l="0" t="0" r="2540"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cstate="print"/>
                    <a:stretch>
                      <a:fillRect/>
                    </a:stretch>
                  </pic:blipFill>
                  <pic:spPr>
                    <a:xfrm>
                      <a:off x="0" y="0"/>
                      <a:ext cx="8855710" cy="2893695"/>
                    </a:xfrm>
                    <a:prstGeom prst="rect">
                      <a:avLst/>
                    </a:prstGeom>
                    <a:noFill/>
                    <a:ln>
                      <a:noFill/>
                    </a:ln>
                  </pic:spPr>
                </pic:pic>
              </a:graphicData>
            </a:graphic>
          </wp:inline>
        </w:drawing>
      </w:r>
    </w:p>
    <w:p w:rsidR="00F402FC" w:rsidRDefault="00D95AB6">
      <w:pPr>
        <w:adjustRightInd w:val="0"/>
        <w:snapToGrid w:val="0"/>
        <w:spacing w:line="360" w:lineRule="auto"/>
      </w:pPr>
      <w:r>
        <w:rPr>
          <w:noProof/>
        </w:rPr>
        <w:lastRenderedPageBreak/>
        <w:drawing>
          <wp:inline distT="0" distB="0" distL="114300" distR="114300">
            <wp:extent cx="8856980" cy="1325880"/>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8856980" cy="1325880"/>
                    </a:xfrm>
                    <a:prstGeom prst="rect">
                      <a:avLst/>
                    </a:prstGeom>
                    <a:noFill/>
                    <a:ln>
                      <a:noFill/>
                    </a:ln>
                  </pic:spPr>
                </pic:pic>
              </a:graphicData>
            </a:graphic>
          </wp:inline>
        </w:drawing>
      </w:r>
    </w:p>
    <w:p w:rsidR="00D21A00" w:rsidRDefault="00D21A00" w:rsidP="00D21A00">
      <w:pPr>
        <w:adjustRightInd w:val="0"/>
        <w:snapToGrid w:val="0"/>
        <w:spacing w:line="360" w:lineRule="auto"/>
      </w:pPr>
      <w:r>
        <w:rPr>
          <w:rFonts w:hint="eastAsia"/>
        </w:rPr>
        <w:t>本单位没有政府性基金支出</w:t>
      </w:r>
    </w:p>
    <w:p w:rsidR="00F402FC" w:rsidRPr="00D21A00" w:rsidRDefault="00F402FC">
      <w:pPr>
        <w:adjustRightInd w:val="0"/>
        <w:snapToGrid w:val="0"/>
        <w:spacing w:line="360" w:lineRule="auto"/>
      </w:pPr>
      <w:bookmarkStart w:id="0" w:name="_GoBack"/>
      <w:bookmarkEnd w:id="0"/>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F402FC">
      <w:pPr>
        <w:adjustRightInd w:val="0"/>
        <w:snapToGrid w:val="0"/>
        <w:spacing w:line="360" w:lineRule="auto"/>
      </w:pPr>
    </w:p>
    <w:p w:rsidR="00F402FC" w:rsidRDefault="00D95AB6">
      <w:pPr>
        <w:adjustRightInd w:val="0"/>
        <w:snapToGrid w:val="0"/>
        <w:spacing w:line="360" w:lineRule="auto"/>
      </w:pPr>
      <w:r>
        <w:rPr>
          <w:noProof/>
        </w:rPr>
        <w:drawing>
          <wp:inline distT="0" distB="0" distL="114300" distR="114300">
            <wp:extent cx="8856980" cy="1106805"/>
            <wp:effectExtent l="0" t="0" r="0" b="171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9" cstate="print"/>
                    <a:stretch>
                      <a:fillRect/>
                    </a:stretch>
                  </pic:blipFill>
                  <pic:spPr>
                    <a:xfrm>
                      <a:off x="0" y="0"/>
                      <a:ext cx="8856980" cy="1106805"/>
                    </a:xfrm>
                    <a:prstGeom prst="rect">
                      <a:avLst/>
                    </a:prstGeom>
                    <a:noFill/>
                    <a:ln>
                      <a:noFill/>
                    </a:ln>
                  </pic:spPr>
                </pic:pic>
              </a:graphicData>
            </a:graphic>
          </wp:inline>
        </w:drawing>
      </w:r>
    </w:p>
    <w:sectPr w:rsidR="00F402FC">
      <w:pgSz w:w="16838" w:h="11906" w:orient="landscape"/>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B6" w:rsidRDefault="00D95AB6">
      <w:r>
        <w:separator/>
      </w:r>
    </w:p>
  </w:endnote>
  <w:endnote w:type="continuationSeparator" w:id="0">
    <w:p w:rsidR="00D95AB6" w:rsidRDefault="00D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FC" w:rsidRDefault="00E8176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F402FC" w:rsidRDefault="00D95AB6">
                          <w:pPr>
                            <w:pStyle w:val="a4"/>
                          </w:pPr>
                          <w:r>
                            <w:rPr>
                              <w:rFonts w:hint="eastAsia"/>
                            </w:rPr>
                            <w:fldChar w:fldCharType="begin"/>
                          </w:r>
                          <w:r>
                            <w:rPr>
                              <w:rFonts w:hint="eastAsia"/>
                            </w:rPr>
                            <w:instrText xml:space="preserve"> PAGE  \* MERGEFORMAT </w:instrText>
                          </w:r>
                          <w:r>
                            <w:rPr>
                              <w:rFonts w:hint="eastAsia"/>
                            </w:rPr>
                            <w:fldChar w:fldCharType="separate"/>
                          </w:r>
                          <w:r w:rsidR="00D21A00">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&#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dGH0nMAgAA4QUAAA4AAAAAAAAAAAAAAAAALgIAAGRycy9lMm9Eb2MueG1sUEsB&#10;Ai0AFAAGAAgAAAAhACEXQFPbAAAAAwEAAA8AAAAAAAAAAAAAAAAAJgUAAGRycy9kb3ducmV2Lnht&#10;bFBLBQYAAAAABAAEAPMAAAAuBgAAAAA=&#10;" filled="f" stroked="f" strokeweight=".5pt">
              <v:path arrowok="t"/>
              <v:textbox style="mso-fit-shape-to-text:t" inset="0,0,0,0">
                <w:txbxContent>
                  <w:p w:rsidR="00F402FC" w:rsidRDefault="00D95AB6">
                    <w:pPr>
                      <w:pStyle w:val="a4"/>
                    </w:pPr>
                    <w:r>
                      <w:rPr>
                        <w:rFonts w:hint="eastAsia"/>
                      </w:rPr>
                      <w:fldChar w:fldCharType="begin"/>
                    </w:r>
                    <w:r>
                      <w:rPr>
                        <w:rFonts w:hint="eastAsia"/>
                      </w:rPr>
                      <w:instrText xml:space="preserve"> PAGE  \* MERGEFORMAT </w:instrText>
                    </w:r>
                    <w:r>
                      <w:rPr>
                        <w:rFonts w:hint="eastAsia"/>
                      </w:rPr>
                      <w:fldChar w:fldCharType="separate"/>
                    </w:r>
                    <w:r w:rsidR="00D21A00">
                      <w:rPr>
                        <w:noProof/>
                      </w:rPr>
                      <w:t>23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B6" w:rsidRDefault="00D95AB6">
      <w:r>
        <w:separator/>
      </w:r>
    </w:p>
  </w:footnote>
  <w:footnote w:type="continuationSeparator" w:id="0">
    <w:p w:rsidR="00D95AB6" w:rsidRDefault="00D95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9E59"/>
    <w:multiLevelType w:val="singleLevel"/>
    <w:tmpl w:val="136D9E59"/>
    <w:lvl w:ilvl="0">
      <w:start w:val="1"/>
      <w:numFmt w:val="chineseCounting"/>
      <w:suff w:val="nothing"/>
      <w:lvlText w:val="%1、"/>
      <w:lvlJc w:val="left"/>
      <w:rPr>
        <w:rFonts w:hint="eastAsia"/>
      </w:rPr>
    </w:lvl>
  </w:abstractNum>
  <w:abstractNum w:abstractNumId="1">
    <w:nsid w:val="7D528E62"/>
    <w:multiLevelType w:val="singleLevel"/>
    <w:tmpl w:val="7D528E6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D0E9A"/>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E20E2"/>
    <w:rsid w:val="00600B18"/>
    <w:rsid w:val="00662E14"/>
    <w:rsid w:val="0067124D"/>
    <w:rsid w:val="00695958"/>
    <w:rsid w:val="006B49B5"/>
    <w:rsid w:val="006B7E0B"/>
    <w:rsid w:val="006C3CD3"/>
    <w:rsid w:val="006C7564"/>
    <w:rsid w:val="006D30AF"/>
    <w:rsid w:val="006D6D49"/>
    <w:rsid w:val="006E4BF1"/>
    <w:rsid w:val="006F5EEE"/>
    <w:rsid w:val="00700744"/>
    <w:rsid w:val="00712287"/>
    <w:rsid w:val="00730F26"/>
    <w:rsid w:val="0073591F"/>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C19B7"/>
    <w:rsid w:val="008D01B3"/>
    <w:rsid w:val="00932940"/>
    <w:rsid w:val="00933A94"/>
    <w:rsid w:val="00943D7C"/>
    <w:rsid w:val="00944A2D"/>
    <w:rsid w:val="00952BFE"/>
    <w:rsid w:val="0097229F"/>
    <w:rsid w:val="009821A1"/>
    <w:rsid w:val="00987FE0"/>
    <w:rsid w:val="009D782E"/>
    <w:rsid w:val="00A330EC"/>
    <w:rsid w:val="00A34341"/>
    <w:rsid w:val="00A35A79"/>
    <w:rsid w:val="00A46E26"/>
    <w:rsid w:val="00A60D33"/>
    <w:rsid w:val="00A6267D"/>
    <w:rsid w:val="00A9448F"/>
    <w:rsid w:val="00AE549A"/>
    <w:rsid w:val="00B10D6F"/>
    <w:rsid w:val="00B20C5F"/>
    <w:rsid w:val="00B34754"/>
    <w:rsid w:val="00BA362F"/>
    <w:rsid w:val="00BA4FA7"/>
    <w:rsid w:val="00BA7185"/>
    <w:rsid w:val="00BB0CAA"/>
    <w:rsid w:val="00BB6662"/>
    <w:rsid w:val="00BE56FB"/>
    <w:rsid w:val="00BE716F"/>
    <w:rsid w:val="00BF12CF"/>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21A00"/>
    <w:rsid w:val="00D32932"/>
    <w:rsid w:val="00D43363"/>
    <w:rsid w:val="00D4466F"/>
    <w:rsid w:val="00D46069"/>
    <w:rsid w:val="00D508D2"/>
    <w:rsid w:val="00D53D97"/>
    <w:rsid w:val="00D6792C"/>
    <w:rsid w:val="00D8037E"/>
    <w:rsid w:val="00D95AB6"/>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8176D"/>
    <w:rsid w:val="00EB50EB"/>
    <w:rsid w:val="00EC2B0B"/>
    <w:rsid w:val="00ED5B3D"/>
    <w:rsid w:val="00EF42A2"/>
    <w:rsid w:val="00F0089D"/>
    <w:rsid w:val="00F2137C"/>
    <w:rsid w:val="00F402FC"/>
    <w:rsid w:val="00F51FB3"/>
    <w:rsid w:val="00F754BD"/>
    <w:rsid w:val="00F862A9"/>
    <w:rsid w:val="00FA0A5A"/>
    <w:rsid w:val="00FE0C28"/>
    <w:rsid w:val="01DC6251"/>
    <w:rsid w:val="03D764BB"/>
    <w:rsid w:val="06955746"/>
    <w:rsid w:val="070A46AE"/>
    <w:rsid w:val="08AE27E4"/>
    <w:rsid w:val="0C210534"/>
    <w:rsid w:val="0FE874DF"/>
    <w:rsid w:val="14DD0A9B"/>
    <w:rsid w:val="15951A24"/>
    <w:rsid w:val="1D881821"/>
    <w:rsid w:val="1DA137CE"/>
    <w:rsid w:val="1E0C5946"/>
    <w:rsid w:val="1FD2038F"/>
    <w:rsid w:val="1FD8086E"/>
    <w:rsid w:val="1FE118F3"/>
    <w:rsid w:val="284F7C01"/>
    <w:rsid w:val="444A525E"/>
    <w:rsid w:val="4D135887"/>
    <w:rsid w:val="50825A87"/>
    <w:rsid w:val="52AE0751"/>
    <w:rsid w:val="5C791F4A"/>
    <w:rsid w:val="62D83A7C"/>
    <w:rsid w:val="6DED5144"/>
    <w:rsid w:val="71ED07A5"/>
    <w:rsid w:val="758D3EDA"/>
    <w:rsid w:val="7DFB58E1"/>
    <w:rsid w:val="7F7B4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41FFE-BBAE-4491-8767-8CC2E82A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705</Words>
  <Characters>4025</Characters>
  <Application>Microsoft Office Word</Application>
  <DocSecurity>0</DocSecurity>
  <Lines>33</Lines>
  <Paragraphs>9</Paragraphs>
  <ScaleCrop>false</ScaleCrop>
  <Company>微软中国</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2020-06-30T08:27:00Z</cp:lastPrinted>
  <dcterms:created xsi:type="dcterms:W3CDTF">2021-06-07T09:25:00Z</dcterms:created>
  <dcterms:modified xsi:type="dcterms:W3CDTF">2021-06-07T09:25:00Z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