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龙安区东风乡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ascii="方正小标宋简体" w:hAnsi="Times New Roman" w:eastAsia="方正小标宋简体"/>
          <w:b/>
          <w:sz w:val="84"/>
          <w:szCs w:val="84"/>
        </w:rPr>
        <w:t>20</w:t>
      </w:r>
      <w:r>
        <w:rPr>
          <w:rFonts w:hint="eastAsia" w:ascii="方正小标宋简体" w:hAnsi="Times New Roman" w:eastAsia="方正小标宋简体"/>
          <w:b/>
          <w:sz w:val="84"/>
          <w:szCs w:val="84"/>
        </w:rPr>
        <w:t>21年度财政预算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单位负责人：张丽军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3183151534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公开负责人：徐峰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ascii="仿宋_GB2312" w:hAnsi="Times New Roman" w:eastAsia="仿宋_GB2312"/>
          <w:sz w:val="32"/>
          <w:szCs w:val="32"/>
        </w:rPr>
        <w:t>12345678910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公开时间：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021年6月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黑体" w:eastAsia="黑体"/>
          <w:sz w:val="32"/>
          <w:szCs w:val="32"/>
        </w:rPr>
        <w:t>龙安区东风乡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黑体" w:eastAsia="黑体"/>
          <w:sz w:val="32"/>
          <w:szCs w:val="32"/>
        </w:rPr>
        <w:t>龙安区东风乡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20年度财政预算情况说明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附件：龙安区东风乡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20年度财政预算表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九、项目支出预算明细表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十、项目绩效目标表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十一、整体绩效目标表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龙安区东风乡人民政府</w:t>
      </w:r>
      <w:r>
        <w:rPr>
          <w:rFonts w:hint="eastAsia" w:ascii="黑体" w:hAnsi="黑体" w:eastAsia="黑体"/>
          <w:b/>
          <w:bCs/>
          <w:sz w:val="32"/>
          <w:szCs w:val="32"/>
        </w:rPr>
        <w:t>概</w:t>
      </w:r>
      <w:r>
        <w:rPr>
          <w:rFonts w:hint="eastAsia" w:ascii="黑体" w:hAnsi="黑体" w:eastAsia="黑体"/>
          <w:sz w:val="32"/>
          <w:szCs w:val="32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一、龙安区东风乡人民政府</w:t>
      </w:r>
      <w:r>
        <w:rPr>
          <w:rFonts w:hint="eastAsia" w:ascii="黑体" w:hAnsi="黑体" w:eastAsia="黑体"/>
          <w:b/>
          <w:bCs/>
          <w:sz w:val="32"/>
          <w:szCs w:val="32"/>
        </w:rPr>
        <w:t>主要职责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（一）落实政策，促进发展，维护稳定，加强管理，提供服务。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二）贯彻执行党的路线，方针，政策，讨论决定本乡经济建设和社会发展的重大问题；领导各部门和群众组织，依照国家法律法规及各自章程行使职权；加强乡党委自身建设和村级组织建设；按照干部管理权限，负责对干部的教育，培养，选拔和监督工作；密切联系群众，为全乡农村经济和社会事业发展做好服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（三）人员概况：本单位编制为90人，其中行政编制</w:t>
      </w:r>
      <w:r>
        <w:rPr>
          <w:rFonts w:ascii="楷体_GB2312" w:hAnsi="宋体" w:eastAsia="楷体_GB2312" w:cs="Courier New"/>
          <w:kern w:val="0"/>
          <w:sz w:val="32"/>
          <w:szCs w:val="32"/>
        </w:rPr>
        <w:t>3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0人，工勤编制</w:t>
      </w:r>
      <w:r>
        <w:rPr>
          <w:rFonts w:ascii="楷体_GB2312" w:hAnsi="宋体" w:eastAsia="楷体_GB2312" w:cs="Courier New"/>
          <w:kern w:val="0"/>
          <w:sz w:val="32"/>
          <w:szCs w:val="32"/>
        </w:rPr>
        <w:t>3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人，事业编制42人，现实有在职82人，退休</w:t>
      </w:r>
      <w:r>
        <w:rPr>
          <w:rFonts w:ascii="楷体_GB2312" w:hAnsi="宋体" w:eastAsia="楷体_GB2312" w:cs="Courier New"/>
          <w:kern w:val="0"/>
          <w:sz w:val="32"/>
          <w:szCs w:val="32"/>
        </w:rPr>
        <w:t>46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二、龙安区东风乡人民政府</w:t>
      </w:r>
      <w:r>
        <w:rPr>
          <w:rFonts w:hint="eastAsia" w:ascii="黑体" w:hAnsi="黑体" w:eastAsia="黑体"/>
          <w:b/>
          <w:bCs/>
          <w:sz w:val="32"/>
          <w:szCs w:val="32"/>
        </w:rPr>
        <w:t>预</w:t>
      </w:r>
      <w:r>
        <w:rPr>
          <w:rFonts w:hint="eastAsia" w:ascii="黑体" w:hAnsi="黑体" w:eastAsia="黑体"/>
          <w:sz w:val="32"/>
          <w:szCs w:val="32"/>
        </w:rPr>
        <w:t>算单位构成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</w:rPr>
        <w:t>龙安区东风乡全部为一级预算单位共六个，本预算为汇总预算，本财政预算范围的一级预算单位有：</w:t>
      </w:r>
    </w:p>
    <w:p>
      <w:pPr>
        <w:kinsoku w:val="0"/>
        <w:overflowPunct w:val="0"/>
        <w:adjustRightInd w:val="0"/>
        <w:snapToGrid w:val="0"/>
        <w:spacing w:line="360" w:lineRule="auto"/>
        <w:ind w:firstLine="300" w:firstLineChars="200"/>
        <w:rPr>
          <w:rFonts w:ascii="Times New Roman" w:hAnsi="Times New Roman" w:eastAsia="仿宋_GB2312"/>
          <w:sz w:val="15"/>
          <w:szCs w:val="15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、东风乡人民政府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、东风乡人民政府文化服务中心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、东风乡人民政府村镇建设发展中心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 xml:space="preserve">4. 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东风乡人民政府农业服务中心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 xml:space="preserve">5. 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东风乡人民政府计划生育服务中心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 xml:space="preserve">6. 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东风乡人民政府国土资源管理所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龙安区东风乡人民政府</w:t>
      </w:r>
      <w:r>
        <w:rPr>
          <w:rFonts w:ascii="黑体" w:hAnsi="Times New Roman" w:eastAsia="黑体" w:cs="黑体"/>
          <w:b/>
          <w:bCs/>
          <w:sz w:val="32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32"/>
          <w:szCs w:val="32"/>
        </w:rPr>
        <w:t>21年度财政预算情况说明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21年度预算收入总计2217万元，支出总计2217万元，与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20年相比，收入总计增加216.53万元，上升10.8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；支出总计增加216.53万元，上升10.8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。主要原因：机构改革人员下沉，增加一般公共预算支出费。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21年收入合计2217万元，</w:t>
      </w:r>
      <w:r>
        <w:rPr>
          <w:rFonts w:hint="eastAsia" w:ascii="仿宋_GB2312" w:eastAsia="仿宋_GB2312"/>
          <w:sz w:val="32"/>
          <w:szCs w:val="32"/>
        </w:rPr>
        <w:t>其中：一般公共预算2217万元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hAnsi="Times New Roman" w:eastAsia="仿宋_GB2312"/>
          <w:sz w:val="32"/>
          <w:szCs w:val="32"/>
        </w:rPr>
        <w:t>政府性基金收入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万元；专户管理的教育收费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万元；国有资本经营预算收入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万元；事业收入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万元；经营收入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万元；其他收入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21年支出合计2217万元，其中：基本支出1732万元占78.1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；项目支出485万元，占21.9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21年一般公共预算收支预算2217万元，政府性基金收支预算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20年相比，一般公共预算收支预算增加216.53万元，上升10.8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，主要原因：机构改革人员下沉，增加一般公共预算支出费。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21年一般公共预算支出年初预算为2217万元。主要用于以下方面：一般公共服务（类）支出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099万元，占49.6%社会保障和就业支出：222万元，占10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；卫生健康支出：42万元，2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；住房保障（类）支出88万元，占4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按照《财政部关于印发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支出经济分类科目改革方案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的通知》（财预〔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98</w:t>
      </w:r>
      <w:r>
        <w:rPr>
          <w:rFonts w:hint="eastAsia" w:ascii="仿宋_GB2312" w:eastAsia="仿宋_GB2312"/>
          <w:sz w:val="32"/>
          <w:szCs w:val="32"/>
        </w:rPr>
        <w:t>号）要求，从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21年东风乡人民政府部门预算支出2217万元，具体分为：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工资福利支出（类</w:t>
      </w:r>
      <w:r>
        <w:rPr>
          <w:rFonts w:ascii="仿宋_GB2312" w:eastAsia="仿宋_GB2312"/>
          <w:sz w:val="32"/>
          <w:szCs w:val="32"/>
        </w:rPr>
        <w:t>301</w:t>
      </w:r>
      <w:r>
        <w:rPr>
          <w:rFonts w:hint="eastAsia" w:ascii="仿宋_GB2312" w:eastAsia="仿宋_GB2312"/>
          <w:sz w:val="32"/>
          <w:szCs w:val="32"/>
        </w:rPr>
        <w:t>）1183万元，包括基本工资（款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</w:rPr>
        <w:t>）399万元、津贴补贴（款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）128万元、绩效工资（款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hint="eastAsia" w:ascii="仿宋_GB2312" w:eastAsia="仿宋_GB2312"/>
          <w:sz w:val="32"/>
          <w:szCs w:val="32"/>
        </w:rPr>
        <w:t>）130万元、其他工资福利（款01）216万元，机关事业单位基本养老保险缴费（款</w:t>
      </w:r>
      <w:r>
        <w:rPr>
          <w:rFonts w:ascii="仿宋_GB2312" w:eastAsia="仿宋_GB2312"/>
          <w:sz w:val="32"/>
          <w:szCs w:val="32"/>
        </w:rPr>
        <w:t>08</w:t>
      </w:r>
      <w:r>
        <w:rPr>
          <w:rFonts w:hint="eastAsia" w:ascii="仿宋_GB2312" w:eastAsia="仿宋_GB2312"/>
          <w:sz w:val="32"/>
          <w:szCs w:val="32"/>
        </w:rPr>
        <w:t>）119万元、职工基本医疗保险缴费（款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）56万元、公务员医疗补助缴费（款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）46万元、其他社会保险缴费（款12）1万元，住房公积金（款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）88万元；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对个人和家庭补助支出（类</w:t>
      </w:r>
      <w:r>
        <w:rPr>
          <w:rFonts w:ascii="仿宋_GB2312" w:eastAsia="仿宋_GB2312"/>
          <w:sz w:val="32"/>
          <w:szCs w:val="32"/>
        </w:rPr>
        <w:t>303</w:t>
      </w:r>
      <w:r>
        <w:rPr>
          <w:rFonts w:hint="eastAsia" w:ascii="仿宋_GB2312" w:eastAsia="仿宋_GB2312"/>
          <w:sz w:val="32"/>
          <w:szCs w:val="32"/>
        </w:rPr>
        <w:t>）111万元，包括退休费（款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）21万元，生活补助（款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hint="eastAsia" w:ascii="仿宋_GB2312" w:eastAsia="仿宋_GB2312"/>
          <w:sz w:val="32"/>
          <w:szCs w:val="32"/>
        </w:rPr>
        <w:t>）15万元，医疗费补助（款07）10万元，救济费（款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hint="eastAsia" w:ascii="仿宋_GB2312" w:eastAsia="仿宋_GB2312"/>
          <w:sz w:val="32"/>
          <w:szCs w:val="32"/>
        </w:rPr>
        <w:t>）5万元，其他对个人和家庭的补助（款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hint="eastAsia" w:ascii="仿宋_GB2312" w:eastAsia="仿宋_GB2312"/>
          <w:sz w:val="32"/>
          <w:szCs w:val="32"/>
        </w:rPr>
        <w:t>）60万元；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商品和服务支出（类</w:t>
      </w:r>
      <w:r>
        <w:rPr>
          <w:rFonts w:ascii="仿宋_GB2312" w:eastAsia="仿宋_GB2312"/>
          <w:sz w:val="32"/>
          <w:szCs w:val="32"/>
        </w:rPr>
        <w:t>302</w:t>
      </w:r>
      <w:r>
        <w:rPr>
          <w:rFonts w:hint="eastAsia" w:ascii="仿宋_GB2312" w:eastAsia="仿宋_GB2312"/>
          <w:sz w:val="32"/>
          <w:szCs w:val="32"/>
        </w:rPr>
        <w:t>）438万元，包括办公费（款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</w:rPr>
        <w:t>）38万元、印刷费（款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）20万元、咨询费（款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万元、手续费（款</w:t>
      </w:r>
      <w:r>
        <w:rPr>
          <w:rFonts w:ascii="仿宋_GB2312" w:eastAsia="仿宋_GB2312"/>
          <w:sz w:val="32"/>
          <w:szCs w:val="32"/>
        </w:rPr>
        <w:t>04</w:t>
      </w:r>
      <w:r>
        <w:rPr>
          <w:rFonts w:hint="eastAsia" w:ascii="仿宋_GB2312" w:eastAsia="仿宋_GB2312"/>
          <w:sz w:val="32"/>
          <w:szCs w:val="32"/>
        </w:rPr>
        <w:t>）3万元、水费（款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hint="eastAsia" w:ascii="仿宋_GB2312" w:eastAsia="仿宋_GB2312"/>
          <w:sz w:val="32"/>
          <w:szCs w:val="32"/>
        </w:rPr>
        <w:t>）22万元、电费（款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万元、邮电费（款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hint="eastAsia" w:ascii="仿宋_GB2312" w:eastAsia="仿宋_GB2312"/>
          <w:sz w:val="32"/>
          <w:szCs w:val="32"/>
        </w:rPr>
        <w:t>）10万元、取暖费（款08）20万元，物业管理费（款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hint="eastAsia" w:ascii="仿宋_GB2312" w:eastAsia="仿宋_GB2312"/>
          <w:sz w:val="32"/>
          <w:szCs w:val="32"/>
        </w:rPr>
        <w:t>）20万元、差旅费（款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万元、维修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护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费（款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）30万元、租赁费（款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）10万元、培训费（款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万元、公务接待费（款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）9万元、劳务费（款26）170万元，委托业务费（款27）12万元，工会经费（款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0万元、福利费（款29）10万元，公务用车运行维护费（款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万元、其他交通费用（款</w:t>
      </w:r>
      <w:r>
        <w:rPr>
          <w:rFonts w:ascii="仿宋_GB2312" w:eastAsia="仿宋_GB2312"/>
          <w:sz w:val="32"/>
          <w:szCs w:val="32"/>
        </w:rPr>
        <w:t>39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（二）龙安区东风乡人民政府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21年政府预算支出2217万元。具体分为：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机关工资福利支出（类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）873万元，包括工资奖金津补贴（款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）128万元、社会保障缴费（款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）222万元、住房公积金（款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03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）88万元。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机关工资福利支出（类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）支出873万元，包括工资福利支出（款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16万元、商品和服务支出（款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）438万元。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对个人和家庭补助支出（类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509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）111万元，包括社会福利和救助（款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）45万元、离退休费（款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）21万元、其他对个人和家庭补助（款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99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）45万元；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机关商品与服务支出（类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）438万元，包括办公经费（款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）378万元、培训费（款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03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万元、委托业务费（款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2万元、公务接待费（款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06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）9万元、公务用车运行维护费（款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08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万元、维修（护）费（款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09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）30万元。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21年无政府性基金预算拨款安排的支出。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21年“三公”经费预算为9万元。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21年“三公”经费支出预算数比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20年减少2万元。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hAnsi="Times New Roman" w:eastAsia="仿宋_GB2312" w:cs="仿宋_GB2312"/>
          <w:b/>
          <w:spacing w:val="-1"/>
          <w:kern w:val="0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sz w:val="32"/>
          <w:szCs w:val="32"/>
        </w:rPr>
        <w:t>2018</w:t>
      </w:r>
      <w:r>
        <w:rPr>
          <w:rFonts w:hint="eastAsia" w:ascii="仿宋_GB2312" w:hAnsi="宋体" w:eastAsia="仿宋_GB2312" w:cs="Courier New"/>
          <w:sz w:val="32"/>
          <w:szCs w:val="32"/>
        </w:rPr>
        <w:t>年相比，增加（减少）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hAnsi="Times New Roman" w:eastAsia="仿宋_GB2312" w:cs="仿宋_GB2312"/>
          <w:b/>
          <w:spacing w:val="-1"/>
          <w:kern w:val="0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ascii="仿宋_GB2312" w:hAnsi="宋体" w:eastAsia="仿宋_GB2312" w:cs="Courier New"/>
          <w:sz w:val="32"/>
          <w:szCs w:val="32"/>
        </w:rPr>
        <w:t>7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20年相比持平。公务用车运行维护费预算数比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20年持平，主要原因：节能减排，压缩开支。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（三）公务接待费9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20年增加（减少）2.5万元。主要原因：压缩开支，减少公务招待。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黑体" w:hAnsi="Times New Roman" w:eastAsia="黑体" w:cs="黑体"/>
          <w:color w:val="FF0000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东风乡人民政府部门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21年机关运行经费支出预算438万元，</w:t>
      </w:r>
      <w:r>
        <w:rPr>
          <w:rFonts w:hint="eastAsia" w:ascii="仿宋_GB2312" w:eastAsia="仿宋_GB2312"/>
          <w:sz w:val="32"/>
          <w:szCs w:val="32"/>
        </w:rPr>
        <w:t>主要保障机构正常运转及正常履职需要支出的相关经费。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21年政府采购预算安排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万元、政府采购工程预算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部门拟组织对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个项目进行预算绩效评价，涉及资金485万元。具体项目如下：1.乡村振兴工作经费为180万元。2.环保工作经费180万元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其中污水管网等经费50万，扬尘治理、黑纱覆盖等80万，绿化环境治理等</w:t>
      </w:r>
      <w:bookmarkStart w:id="0" w:name="_GoBack"/>
      <w:bookmarkEnd w:id="0"/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50万。</w:t>
      </w:r>
      <w:r>
        <w:rPr>
          <w:rFonts w:hint="eastAsia" w:ascii="仿宋_GB2312" w:hAnsi="宋体" w:eastAsia="仿宋_GB2312" w:cs="Courier New"/>
          <w:sz w:val="32"/>
          <w:szCs w:val="32"/>
        </w:rPr>
        <w:t>3.村集体以奖代补经费50万元。4.纪检委标准化建设35万元。5.扶贫工作经费40万元。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21年末，我部门共有车辆</w:t>
      </w:r>
      <w:r>
        <w:rPr>
          <w:rFonts w:ascii="仿宋_GB2312" w:hAnsi="宋体" w:eastAsia="仿宋_GB2312" w:cs="Courier New"/>
          <w:sz w:val="32"/>
          <w:szCs w:val="32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ascii="仿宋_GB2312" w:hAnsi="宋体" w:eastAsia="仿宋_GB2312" w:cs="Courier New"/>
          <w:sz w:val="32"/>
          <w:szCs w:val="32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辆，其他用车无；单价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龙安区东风乡人民政府无专项转移支付项目。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cs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(六)扶贫项目及资金安排情况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龙安区东风乡人民政府年初安排专项扶贫项目资金40万元。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第三部分主要名词解释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第四部分附件及其他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附件：东风乡人民政府部门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21年度部门预算表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5" o:spt="75" type="#_x0000_t75" style="height:352.5pt;width:484.3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6" o:spt="75" type="#_x0000_t75" style="height:179.55pt;width:484.3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7" o:spt="75" type="#_x0000_t75" style="height:164.55pt;width:486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28" o:spt="75" type="#_x0000_t75" style="height:215.05pt;width:483.4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29" o:spt="75" type="#_x0000_t75" style="height:226.3pt;width:483.4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30" o:spt="75" type="#_x0000_t75" style="height:237.5pt;width:484.3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  <w:r>
        <w:pict>
          <v:shape id="_x0000_i1031" o:spt="75" type="#_x0000_t75" style="height:237.5pt;width:484.3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32" o:spt="75" type="#_x0000_t75" style="height:764.9pt;width:487.1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  <w:r>
        <w:pict>
          <v:shape id="_x0000_i1033" o:spt="75" type="#_x0000_t75" style="height:725.6pt;width:487.1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  <w:r>
        <w:pict>
          <v:shape id="_x0000_i1034" o:spt="75" type="#_x0000_t75" style="height:181.4pt;width:487.1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283"/>
        <w:jc w:val="left"/>
      </w:pPr>
    </w:p>
    <w:p>
      <w:pPr>
        <w:ind w:firstLine="283"/>
        <w:jc w:val="left"/>
      </w:pPr>
    </w:p>
    <w:p/>
    <w:p>
      <w:r>
        <w:pict>
          <v:shape id="_x0000_i1035" o:spt="75" type="#_x0000_t75" style="height:78.55pt;width:484.3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03"/>
        <w:jc w:val="left"/>
      </w:pPr>
    </w:p>
    <w:p>
      <w:pPr>
        <w:ind w:firstLine="403"/>
        <w:jc w:val="left"/>
      </w:pPr>
      <w:r>
        <w:pict>
          <v:shape id="_x0000_i1036" o:spt="75" type="#_x0000_t75" style="height:72pt;width:483.4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63"/>
        <w:jc w:val="left"/>
      </w:pPr>
    </w:p>
    <w:p>
      <w:r>
        <w:pict>
          <v:shape id="_x0000_i1037" o:spt="75" type="#_x0000_t75" style="height:54.25pt;width:482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200"/>
        </w:tabs>
        <w:jc w:val="left"/>
      </w:pPr>
      <w:r>
        <w:rPr>
          <w:rFonts w:hint="eastAsia"/>
        </w:rPr>
        <w:tab/>
      </w:r>
    </w:p>
    <w:p>
      <w:pPr>
        <w:tabs>
          <w:tab w:val="left" w:pos="1200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  <w:r>
        <w:pict>
          <v:shape id="_x0000_i1038" o:spt="75" type="#_x0000_t75" style="height:634.9pt;width:483.4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  <w:r>
        <w:pict>
          <v:shape id="_x0000_i1039" o:spt="75" type="#_x0000_t75" style="height:673.25pt;width:484.3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tabs>
          <w:tab w:val="left" w:pos="1200"/>
        </w:tabs>
        <w:jc w:val="left"/>
      </w:pPr>
      <w:r>
        <w:pict>
          <v:shape id="_x0000_i1040" o:spt="75" type="#_x0000_t75" style="height:759.25pt;width:484.3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tabs>
          <w:tab w:val="left" w:pos="1200"/>
        </w:tabs>
        <w:jc w:val="left"/>
      </w:pPr>
      <w:r>
        <w:pict>
          <v:shape id="_x0000_i1041" o:spt="75" type="#_x0000_t75" style="height:524.55pt;width:484.3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  <w:r>
        <w:pict>
          <v:shape id="_x0000_i1042" o:spt="75" type="#_x0000_t75" style="height:520.85pt;width:484.3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  <w:r>
        <w:pict>
          <v:shape id="_x0000_i1043" o:spt="75" type="#_x0000_t75" style="height:713.7pt;width:484.2pt;" filled="f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</w:pict>
      </w:r>
    </w:p>
    <w:p>
      <w:pPr>
        <w:tabs>
          <w:tab w:val="left" w:pos="1200"/>
        </w:tabs>
        <w:jc w:val="left"/>
      </w:pPr>
      <w:r>
        <w:pict>
          <v:shape id="_x0000_i1044" o:spt="75" type="#_x0000_t75" style="height:624.2pt;width:483.9pt;" filled="f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</w:pict>
      </w: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tbl>
      <w:tblPr>
        <w:tblStyle w:val="5"/>
        <w:tblW w:w="8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006"/>
        <w:gridCol w:w="1266"/>
        <w:gridCol w:w="1376"/>
        <w:gridCol w:w="47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安阳市龙安区区级预算部门(单位)整体绩效目标表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3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安阳市龙安区东风乡人民政府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年度履职目标</w:t>
            </w:r>
          </w:p>
        </w:tc>
        <w:tc>
          <w:tcPr>
            <w:tcW w:w="73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编制乡政府财政预决算报表，管理和监督乡政府各项收支，协调完成税收征管任务，管理专项资金等工作。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任务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主要内容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乡村振兴工作经费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为全乡各村产业，人才，文化，生态，组织振兴提供资金保障。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环保工作经费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环保治理：企业管控，扬尘治理，河流治理，环保洒水，绿化环境等。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村集体经济以奖代补经费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扶持村集体经济发展工作。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扶贫经费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根据扶贫政策“四个不摘”精神，为脱贫人员提供帮助，稳定脱贫。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预算情况</w:t>
            </w:r>
          </w:p>
        </w:tc>
        <w:tc>
          <w:tcPr>
            <w:tcW w:w="36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部门预算总额（万元）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1、资金来源：（1）财政性资金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（2）其他资金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2、资金结构：（1）基本支出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（2）项目支出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指标值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指标值说明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投入管理指标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预算和财务管理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预算执行率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预算执行率=（预算完成数/预算数）×100%。预算完成数指部门实际执行的预算数；预算数指财政部门批复的本年度部门的（调整）预算数。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结转结余率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0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结转结余率=结转结余总额/预算数*100%。结转结余总额是指部门本年度的结转结余资金之和。预算数是指财政部门批复的本年度部门的（调整）预算数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“三公经费”控制率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“三公经费”控制率=本年度“三公经费”实际支出数/“三公经费”预算数*100%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政府采购执行率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政府采购执行率=（实际政府采购金额/政府采购预算数）×100%。政府采购预算：采购机关根据事业发展计划和行政任务编制的、并经过规定程序批准的年度政府采购计划</w:t>
            </w:r>
          </w:p>
        </w:tc>
      </w:tr>
    </w:tbl>
    <w:p>
      <w:pPr>
        <w:spacing w:line="597" w:lineRule="exact"/>
        <w:rPr>
          <w:rFonts w:ascii="仿宋_GB2312" w:eastAsia="仿宋_GB2312"/>
          <w:sz w:val="32"/>
        </w:rPr>
      </w:pPr>
    </w:p>
    <w:p/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p>
      <w:pPr>
        <w:tabs>
          <w:tab w:val="left" w:pos="1200"/>
        </w:tabs>
        <w:jc w:val="left"/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2A27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9168C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05E22"/>
    <w:rsid w:val="00521104"/>
    <w:rsid w:val="00563E46"/>
    <w:rsid w:val="0057277A"/>
    <w:rsid w:val="00577C4A"/>
    <w:rsid w:val="00593810"/>
    <w:rsid w:val="00594E25"/>
    <w:rsid w:val="005B35E6"/>
    <w:rsid w:val="005D30D9"/>
    <w:rsid w:val="00600B18"/>
    <w:rsid w:val="00662E14"/>
    <w:rsid w:val="0067124D"/>
    <w:rsid w:val="0069672B"/>
    <w:rsid w:val="006B49B5"/>
    <w:rsid w:val="006B7E0B"/>
    <w:rsid w:val="006C3CD3"/>
    <w:rsid w:val="006C7564"/>
    <w:rsid w:val="006D6D49"/>
    <w:rsid w:val="006E29FA"/>
    <w:rsid w:val="006E4BF1"/>
    <w:rsid w:val="006F5EEE"/>
    <w:rsid w:val="00700744"/>
    <w:rsid w:val="00730F26"/>
    <w:rsid w:val="0073591F"/>
    <w:rsid w:val="007829BC"/>
    <w:rsid w:val="007B5898"/>
    <w:rsid w:val="007C2AA9"/>
    <w:rsid w:val="007C788C"/>
    <w:rsid w:val="007F7E98"/>
    <w:rsid w:val="00804322"/>
    <w:rsid w:val="00812F5C"/>
    <w:rsid w:val="00833DBE"/>
    <w:rsid w:val="00850CE1"/>
    <w:rsid w:val="00860A29"/>
    <w:rsid w:val="00874331"/>
    <w:rsid w:val="00884D2F"/>
    <w:rsid w:val="00891536"/>
    <w:rsid w:val="0089458A"/>
    <w:rsid w:val="008C14BF"/>
    <w:rsid w:val="008D01B3"/>
    <w:rsid w:val="00943D7C"/>
    <w:rsid w:val="00944A2D"/>
    <w:rsid w:val="00952BFE"/>
    <w:rsid w:val="009821A1"/>
    <w:rsid w:val="00987FE0"/>
    <w:rsid w:val="009A1A0A"/>
    <w:rsid w:val="00A330EC"/>
    <w:rsid w:val="00A34341"/>
    <w:rsid w:val="00A35A79"/>
    <w:rsid w:val="00A46E26"/>
    <w:rsid w:val="00A6267D"/>
    <w:rsid w:val="00A80B45"/>
    <w:rsid w:val="00AE549A"/>
    <w:rsid w:val="00B10D6F"/>
    <w:rsid w:val="00B20C5F"/>
    <w:rsid w:val="00B86A8D"/>
    <w:rsid w:val="00BA362F"/>
    <w:rsid w:val="00BA4FA7"/>
    <w:rsid w:val="00BA7185"/>
    <w:rsid w:val="00BB6662"/>
    <w:rsid w:val="00BE56FB"/>
    <w:rsid w:val="00BE716F"/>
    <w:rsid w:val="00C34784"/>
    <w:rsid w:val="00C435CB"/>
    <w:rsid w:val="00C436B8"/>
    <w:rsid w:val="00C437E8"/>
    <w:rsid w:val="00C704F1"/>
    <w:rsid w:val="00C831C5"/>
    <w:rsid w:val="00C83F94"/>
    <w:rsid w:val="00C86129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2F4A"/>
    <w:rsid w:val="00ED5B3D"/>
    <w:rsid w:val="00EF42A2"/>
    <w:rsid w:val="00F0089D"/>
    <w:rsid w:val="00F2137C"/>
    <w:rsid w:val="00F51FB3"/>
    <w:rsid w:val="00F754BD"/>
    <w:rsid w:val="00FA0A5A"/>
    <w:rsid w:val="03BD6820"/>
    <w:rsid w:val="04AD759D"/>
    <w:rsid w:val="04F86A65"/>
    <w:rsid w:val="09CC3212"/>
    <w:rsid w:val="0B1370D6"/>
    <w:rsid w:val="0C405D4D"/>
    <w:rsid w:val="0CE359E5"/>
    <w:rsid w:val="156972C6"/>
    <w:rsid w:val="15DB689D"/>
    <w:rsid w:val="188113EA"/>
    <w:rsid w:val="1B0A1674"/>
    <w:rsid w:val="1E235648"/>
    <w:rsid w:val="1F1E2861"/>
    <w:rsid w:val="1FA81F3D"/>
    <w:rsid w:val="21A26E44"/>
    <w:rsid w:val="27562B21"/>
    <w:rsid w:val="27DA4CA8"/>
    <w:rsid w:val="2E324934"/>
    <w:rsid w:val="30032CDC"/>
    <w:rsid w:val="31782A34"/>
    <w:rsid w:val="31AC469C"/>
    <w:rsid w:val="32826DC6"/>
    <w:rsid w:val="33031C14"/>
    <w:rsid w:val="342914DD"/>
    <w:rsid w:val="3469669A"/>
    <w:rsid w:val="3F3776D6"/>
    <w:rsid w:val="408958F5"/>
    <w:rsid w:val="49D24F6E"/>
    <w:rsid w:val="4A472BCA"/>
    <w:rsid w:val="50192D76"/>
    <w:rsid w:val="51942134"/>
    <w:rsid w:val="5B0026A2"/>
    <w:rsid w:val="5B4C2FFB"/>
    <w:rsid w:val="6334032A"/>
    <w:rsid w:val="635A27B2"/>
    <w:rsid w:val="647A1B71"/>
    <w:rsid w:val="64AA712F"/>
    <w:rsid w:val="6A8E2214"/>
    <w:rsid w:val="6AB543B2"/>
    <w:rsid w:val="6FAA33B6"/>
    <w:rsid w:val="700F5365"/>
    <w:rsid w:val="72257EFD"/>
    <w:rsid w:val="78E13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4532</Words>
  <Characters>981</Characters>
  <Lines>8</Lines>
  <Paragraphs>11</Paragraphs>
  <TotalTime>67</TotalTime>
  <ScaleCrop>false</ScaleCrop>
  <LinksUpToDate>false</LinksUpToDate>
  <CharactersWithSpaces>5502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orange蒲</cp:lastModifiedBy>
  <cp:lastPrinted>2021-06-08T01:41:00Z</cp:lastPrinted>
  <dcterms:modified xsi:type="dcterms:W3CDTF">2021-06-18T08:22:01Z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C1974C91E0FD4914B5889E1E94C80CC4</vt:lpwstr>
  </property>
</Properties>
</file>