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b/>
          <w:sz w:val="72"/>
          <w:szCs w:val="72"/>
        </w:rPr>
      </w:pPr>
    </w:p>
    <w:p>
      <w:pPr>
        <w:adjustRightInd w:val="0"/>
        <w:snapToGrid w:val="0"/>
        <w:spacing w:line="360" w:lineRule="auto"/>
        <w:jc w:val="center"/>
        <w:rPr>
          <w:rFonts w:hint="eastAsia" w:ascii="宋体" w:hAnsi="宋体" w:eastAsia="宋体"/>
          <w:b/>
          <w:color w:val="FF0000"/>
          <w:sz w:val="72"/>
          <w:szCs w:val="72"/>
          <w:lang w:eastAsia="zh-CN"/>
        </w:rPr>
      </w:pPr>
      <w:r>
        <w:rPr>
          <w:rFonts w:hint="eastAsia" w:ascii="宋体" w:hAnsi="宋体"/>
          <w:b/>
          <w:color w:val="auto"/>
          <w:sz w:val="72"/>
          <w:szCs w:val="72"/>
          <w:lang w:eastAsia="zh-CN"/>
        </w:rPr>
        <w:t>东风乡人民政府</w:t>
      </w:r>
    </w:p>
    <w:p>
      <w:pPr>
        <w:adjustRightInd w:val="0"/>
        <w:snapToGrid w:val="0"/>
        <w:spacing w:line="360" w:lineRule="auto"/>
        <w:jc w:val="center"/>
        <w:rPr>
          <w:rFonts w:ascii="宋体" w:hAnsi="宋体"/>
          <w:b/>
          <w:sz w:val="72"/>
          <w:szCs w:val="72"/>
        </w:rPr>
      </w:pPr>
      <w:r>
        <w:rPr>
          <w:rFonts w:ascii="宋体" w:hAnsi="宋体"/>
          <w:b/>
          <w:sz w:val="72"/>
          <w:szCs w:val="72"/>
        </w:rPr>
        <w:t>20</w:t>
      </w:r>
      <w:r>
        <w:rPr>
          <w:rFonts w:hint="eastAsia" w:ascii="宋体" w:hAnsi="宋体"/>
          <w:b/>
          <w:sz w:val="72"/>
          <w:szCs w:val="72"/>
        </w:rPr>
        <w:t>2</w:t>
      </w:r>
      <w:r>
        <w:rPr>
          <w:rFonts w:hint="eastAsia" w:ascii="宋体" w:hAnsi="宋体"/>
          <w:b/>
          <w:sz w:val="72"/>
          <w:szCs w:val="72"/>
          <w:lang w:val="en-US" w:eastAsia="zh-CN"/>
        </w:rPr>
        <w:t>2</w:t>
      </w:r>
      <w:r>
        <w:rPr>
          <w:rFonts w:hint="eastAsia" w:ascii="宋体" w:hAnsi="宋体"/>
          <w:b/>
          <w:sz w:val="72"/>
          <w:szCs w:val="72"/>
        </w:rPr>
        <w:t>年度部门预算公开说明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leftChars="48" w:right="-58" w:firstLine="2831" w:firstLineChars="641"/>
        <w:rPr>
          <w:rFonts w:ascii="宋体" w:hAnsi="宋体"/>
          <w:b/>
          <w:bCs w:val="0"/>
          <w:color w:val="auto"/>
          <w:sz w:val="44"/>
          <w:szCs w:val="44"/>
        </w:rPr>
      </w:pPr>
      <w:r>
        <w:rPr>
          <w:rFonts w:hint="eastAsia" w:ascii="宋体" w:hAnsi="宋体"/>
          <w:b/>
          <w:bCs w:val="0"/>
          <w:color w:val="auto"/>
          <w:sz w:val="44"/>
          <w:szCs w:val="44"/>
        </w:rPr>
        <w:t>202</w:t>
      </w:r>
      <w:r>
        <w:rPr>
          <w:rFonts w:hint="eastAsia" w:ascii="宋体" w:hAnsi="宋体"/>
          <w:b/>
          <w:bCs w:val="0"/>
          <w:color w:val="auto"/>
          <w:sz w:val="44"/>
          <w:szCs w:val="44"/>
          <w:lang w:val="en-US" w:eastAsia="zh-CN"/>
        </w:rPr>
        <w:t>2</w:t>
      </w:r>
      <w:r>
        <w:rPr>
          <w:rFonts w:hint="eastAsia" w:ascii="宋体" w:hAnsi="宋体"/>
          <w:b/>
          <w:bCs w:val="0"/>
          <w:color w:val="auto"/>
          <w:sz w:val="44"/>
          <w:szCs w:val="44"/>
        </w:rPr>
        <w:t>年</w:t>
      </w:r>
      <w:r>
        <w:rPr>
          <w:rFonts w:hint="eastAsia" w:ascii="宋体" w:hAnsi="宋体"/>
          <w:b/>
          <w:bCs w:val="0"/>
          <w:color w:val="auto"/>
          <w:sz w:val="44"/>
          <w:szCs w:val="44"/>
          <w:lang w:val="en-US" w:eastAsia="zh-CN"/>
        </w:rPr>
        <w:t>5</w:t>
      </w:r>
      <w:r>
        <w:rPr>
          <w:rFonts w:hint="eastAsia" w:ascii="宋体" w:hAnsi="宋体"/>
          <w:b/>
          <w:bCs w:val="0"/>
          <w:color w:val="auto"/>
          <w:sz w:val="44"/>
          <w:szCs w:val="44"/>
        </w:rPr>
        <w:t>月</w:t>
      </w:r>
      <w:r>
        <w:rPr>
          <w:rFonts w:hint="eastAsia" w:ascii="宋体" w:hAnsi="宋体"/>
          <w:b/>
          <w:bCs w:val="0"/>
          <w:color w:val="auto"/>
          <w:sz w:val="44"/>
          <w:szCs w:val="44"/>
          <w:lang w:val="en-US" w:eastAsia="zh-CN"/>
        </w:rPr>
        <w:t>27</w:t>
      </w:r>
      <w:r>
        <w:rPr>
          <w:rFonts w:hint="eastAsia" w:ascii="宋体" w:hAnsi="宋体"/>
          <w:b/>
          <w:bCs w:val="0"/>
          <w:color w:val="auto"/>
          <w:sz w:val="44"/>
          <w:szCs w:val="44"/>
        </w:rPr>
        <w:t>日</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  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w:t>
      </w:r>
      <w:r>
        <w:rPr>
          <w:rFonts w:hint="eastAsia" w:ascii="黑体" w:hAnsi="Times New Roman" w:eastAsia="黑体" w:cs="黑体"/>
          <w:sz w:val="32"/>
          <w:szCs w:val="32"/>
        </w:rPr>
        <w:t xml:space="preserve"> </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2</w:t>
      </w:r>
      <w:r>
        <w:rPr>
          <w:rFonts w:hint="eastAsia" w:ascii="黑体" w:hAnsi="Times New Roman" w:eastAsia="黑体" w:cs="黑体"/>
          <w:sz w:val="32"/>
          <w:szCs w:val="32"/>
        </w:rPr>
        <w:t>年度部门预算情况说明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一、部门收支总体情况说明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二、部门收入总体情况说明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四、财政拨款收支总体情况说明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五、一般公共预算支出情况说明</w:t>
      </w:r>
    </w:p>
    <w:p>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w:t>
      </w:r>
      <w:r>
        <w:rPr>
          <w:rFonts w:hint="eastAsia" w:ascii="仿宋_GB2312" w:hAnsi="Times New Roman" w:eastAsia="仿宋_GB2312" w:cs="仿宋_GB2312"/>
          <w:sz w:val="32"/>
          <w:szCs w:val="32"/>
          <w:lang w:eastAsia="zh-CN"/>
        </w:rPr>
        <w:t>基本</w:t>
      </w:r>
      <w:r>
        <w:rPr>
          <w:rFonts w:hint="eastAsia" w:ascii="仿宋_GB2312" w:hAnsi="Times New Roman" w:eastAsia="仿宋_GB2312" w:cs="仿宋_GB2312"/>
          <w:sz w:val="32"/>
          <w:szCs w:val="32"/>
        </w:rPr>
        <w:t>支出情况说明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七、一般公共预算“三公”经费支</w:t>
      </w:r>
      <w:r>
        <w:rPr>
          <w:rFonts w:hint="eastAsia" w:ascii="仿宋_GB2312" w:hAnsi="Times New Roman" w:eastAsia="仿宋_GB2312" w:cs="仿宋_GB2312"/>
          <w:sz w:val="32"/>
          <w:szCs w:val="32"/>
          <w:lang w:eastAsia="zh-CN"/>
        </w:rPr>
        <w:t>出预算情况说明</w:t>
      </w:r>
    </w:p>
    <w:p>
      <w:pPr>
        <w:kinsoku w:val="0"/>
        <w:overflowPunct w:val="0"/>
        <w:adjustRightInd w:val="0"/>
        <w:snapToGrid w:val="0"/>
        <w:spacing w:line="360" w:lineRule="auto"/>
        <w:jc w:val="left"/>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八、政府性基金预算支出情况</w:t>
      </w:r>
      <w:r>
        <w:rPr>
          <w:rFonts w:hint="eastAsia" w:ascii="仿宋_GB2312" w:hAnsi="Times New Roman" w:eastAsia="仿宋_GB2312" w:cs="仿宋_GB2312"/>
          <w:sz w:val="32"/>
          <w:szCs w:val="32"/>
          <w:lang w:eastAsia="zh-CN"/>
        </w:rPr>
        <w:t>说明</w:t>
      </w:r>
    </w:p>
    <w:p>
      <w:pPr>
        <w:kinsoku w:val="0"/>
        <w:overflowPunct w:val="0"/>
        <w:adjustRightInd w:val="0"/>
        <w:snapToGrid w:val="0"/>
        <w:spacing w:line="360" w:lineRule="auto"/>
        <w:ind w:firstLine="960" w:firstLineChars="300"/>
        <w:jc w:val="left"/>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eastAsia="zh-CN"/>
        </w:rPr>
        <w:t>九</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上年结转</w:t>
      </w:r>
      <w:r>
        <w:rPr>
          <w:rFonts w:hint="eastAsia" w:ascii="仿宋_GB2312" w:hAnsi="Times New Roman" w:eastAsia="仿宋_GB2312" w:cs="仿宋_GB2312"/>
          <w:sz w:val="32"/>
          <w:szCs w:val="32"/>
        </w:rPr>
        <w:t>情况</w:t>
      </w:r>
      <w:r>
        <w:rPr>
          <w:rFonts w:hint="eastAsia" w:ascii="仿宋_GB2312" w:hAnsi="Times New Roman" w:eastAsia="仿宋_GB2312" w:cs="仿宋_GB2312"/>
          <w:sz w:val="32"/>
          <w:szCs w:val="32"/>
          <w:lang w:eastAsia="zh-CN"/>
        </w:rPr>
        <w:t>说明</w:t>
      </w:r>
    </w:p>
    <w:p>
      <w:pPr>
        <w:kinsoku w:val="0"/>
        <w:overflowPunct w:val="0"/>
        <w:adjustRightInd w:val="0"/>
        <w:snapToGrid w:val="0"/>
        <w:spacing w:line="360" w:lineRule="auto"/>
        <w:jc w:val="left"/>
        <w:rPr>
          <w:rFonts w:ascii="仿宋_GB2312" w:eastAsia="仿宋_GB2312"/>
          <w:b/>
          <w:color w:val="000000"/>
          <w:sz w:val="32"/>
          <w:szCs w:val="32"/>
          <w:shd w:val="clear" w:color="auto" w:fill="FFFFFF"/>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十</w:t>
      </w:r>
      <w:r>
        <w:rPr>
          <w:rFonts w:hint="eastAsia" w:ascii="仿宋_GB2312" w:hAnsi="Times New Roman" w:eastAsia="仿宋_GB2312" w:cs="仿宋_GB2312"/>
          <w:sz w:val="32"/>
          <w:szCs w:val="32"/>
        </w:rPr>
        <w:t>、</w:t>
      </w:r>
      <w:r>
        <w:rPr>
          <w:rFonts w:hint="eastAsia" w:ascii="仿宋_GB2312" w:eastAsia="仿宋_GB2312"/>
          <w:color w:val="000000"/>
          <w:sz w:val="32"/>
          <w:szCs w:val="32"/>
          <w:shd w:val="clear" w:color="auto" w:fill="FFFFFF"/>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名词解释</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w:t>
      </w:r>
      <w:r>
        <w:rPr>
          <w:rFonts w:hint="eastAsia" w:ascii="黑体" w:hAnsi="Times New Roman" w:eastAsia="黑体" w:cs="黑体"/>
          <w:sz w:val="32"/>
          <w:szCs w:val="32"/>
          <w:lang w:eastAsia="zh-CN"/>
        </w:rPr>
        <w:t>四</w:t>
      </w:r>
      <w:r>
        <w:rPr>
          <w:rFonts w:hint="eastAsia" w:ascii="黑体" w:hAnsi="Times New Roman" w:eastAsia="黑体" w:cs="黑体"/>
          <w:sz w:val="32"/>
          <w:szCs w:val="32"/>
        </w:rPr>
        <w:t>部分</w:t>
      </w:r>
      <w:r>
        <w:rPr>
          <w:rFonts w:hint="eastAsia" w:ascii="黑体" w:hAnsi="Times New Roman" w:eastAsia="黑体" w:cs="黑体"/>
          <w:sz w:val="32"/>
          <w:szCs w:val="32"/>
          <w:lang w:val="en-US" w:eastAsia="zh-CN"/>
        </w:rPr>
        <w:t xml:space="preserve">  </w:t>
      </w:r>
      <w:r>
        <w:rPr>
          <w:rFonts w:hint="eastAsia" w:ascii="黑体" w:hAnsi="黑体" w:eastAsia="黑体"/>
          <w:sz w:val="32"/>
          <w:szCs w:val="32"/>
        </w:rPr>
        <w:t>附件</w:t>
      </w:r>
      <w:r>
        <w:rPr>
          <w:rFonts w:ascii="黑体" w:hAnsi="Times New Roman" w:eastAsia="黑体" w:cs="黑体"/>
          <w:sz w:val="32"/>
          <w:szCs w:val="32"/>
        </w:rPr>
        <w:t>20</w:t>
      </w:r>
      <w:r>
        <w:rPr>
          <w:rFonts w:hint="eastAsia" w:ascii="黑体" w:hAnsi="Times New Roman" w:eastAsia="黑体" w:cs="黑体"/>
          <w:sz w:val="32"/>
          <w:szCs w:val="32"/>
        </w:rPr>
        <w:t>2</w:t>
      </w:r>
      <w:r>
        <w:rPr>
          <w:rFonts w:hint="eastAsia" w:ascii="黑体" w:hAnsi="Times New Roman" w:eastAsia="黑体" w:cs="黑体"/>
          <w:sz w:val="32"/>
          <w:szCs w:val="32"/>
          <w:lang w:val="en-US" w:eastAsia="zh-CN"/>
        </w:rPr>
        <w:t>2</w:t>
      </w:r>
      <w:r>
        <w:rPr>
          <w:rFonts w:hint="eastAsia" w:ascii="黑体" w:hAnsi="Times New Roman" w:eastAsia="黑体" w:cs="黑体"/>
          <w:sz w:val="32"/>
          <w:szCs w:val="32"/>
        </w:rPr>
        <w:t>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w:t>
      </w:r>
      <w:r>
        <w:rPr>
          <w:rFonts w:hint="eastAsia" w:ascii="仿宋_GB2312" w:eastAsia="仿宋_GB2312"/>
          <w:sz w:val="32"/>
          <w:szCs w:val="32"/>
          <w:lang w:eastAsia="zh-CN"/>
        </w:rPr>
        <w:t>预算</w:t>
      </w:r>
      <w:r>
        <w:rPr>
          <w:rFonts w:hint="eastAsia" w:ascii="仿宋_GB2312" w:eastAsia="仿宋_GB2312"/>
          <w:sz w:val="32"/>
          <w:szCs w:val="32"/>
        </w:rPr>
        <w:t>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w:t>
      </w:r>
      <w:r>
        <w:rPr>
          <w:rFonts w:hint="eastAsia" w:ascii="仿宋" w:hAnsi="仿宋" w:eastAsia="仿宋" w:cs="仿宋"/>
          <w:sz w:val="30"/>
          <w:szCs w:val="30"/>
          <w:lang w:val="en-US" w:eastAsia="zh-CN"/>
        </w:rPr>
        <w:t>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lang w:val="en-US" w:eastAsia="zh-CN"/>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60" w:firstLineChars="300"/>
        <w:jc w:val="left"/>
        <w:rPr>
          <w:rFonts w:hint="eastAsia" w:ascii="仿宋" w:hAnsi="仿宋" w:eastAsia="仿宋" w:cs="仿宋"/>
          <w:sz w:val="30"/>
          <w:szCs w:val="30"/>
          <w:lang w:val="en-US" w:eastAsia="zh-CN"/>
        </w:rPr>
      </w:pPr>
      <w:r>
        <w:rPr>
          <w:rFonts w:hint="eastAsia" w:ascii="仿宋_GB2312" w:eastAsia="仿宋_GB2312"/>
          <w:sz w:val="32"/>
          <w:szCs w:val="32"/>
        </w:rPr>
        <w:t>十、</w:t>
      </w:r>
      <w:r>
        <w:rPr>
          <w:rFonts w:hint="eastAsia" w:ascii="仿宋" w:hAnsi="仿宋" w:eastAsia="仿宋" w:cs="仿宋"/>
          <w:sz w:val="30"/>
          <w:szCs w:val="30"/>
          <w:lang w:eastAsia="zh-CN"/>
        </w:rPr>
        <w:t>项目支出</w:t>
      </w:r>
      <w:r>
        <w:rPr>
          <w:rFonts w:hint="eastAsia" w:ascii="仿宋" w:hAnsi="仿宋" w:eastAsia="仿宋" w:cs="仿宋"/>
          <w:sz w:val="30"/>
          <w:szCs w:val="30"/>
          <w:lang w:val="en-US" w:eastAsia="zh-CN"/>
        </w:rPr>
        <w:t>预算表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十一、部门上年结转资金表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十二、部门整体绩效目标表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十三、部门预算项目绩效目标表</w:t>
      </w:r>
    </w:p>
    <w:p>
      <w:pPr>
        <w:kinsoku w:val="0"/>
        <w:overflowPunct w:val="0"/>
        <w:adjustRightInd w:val="0"/>
        <w:snapToGrid w:val="0"/>
        <w:spacing w:line="360" w:lineRule="auto"/>
        <w:ind w:right="51" w:firstLine="900" w:firstLineChars="300"/>
        <w:jc w:val="left"/>
        <w:rPr>
          <w:rFonts w:hint="eastAsia" w:ascii="仿宋" w:hAnsi="仿宋" w:eastAsia="仿宋" w:cs="仿宋"/>
          <w:sz w:val="30"/>
          <w:szCs w:val="30"/>
          <w:lang w:val="en-US" w:eastAsia="zh-CN"/>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rPr>
          <w:rFonts w:ascii="宋体" w:hAnsi="宋体"/>
          <w:b/>
          <w:bCs/>
          <w:sz w:val="32"/>
          <w:szCs w:val="32"/>
        </w:rPr>
      </w:pPr>
      <w:r>
        <w:rPr>
          <w:rFonts w:hint="eastAsia" w:ascii="宋体" w:hAnsi="宋体"/>
          <w:b/>
          <w:bCs/>
          <w:sz w:val="32"/>
          <w:szCs w:val="32"/>
        </w:rPr>
        <w:t>部门主要职责</w:t>
      </w:r>
    </w:p>
    <w:p>
      <w:pPr>
        <w:adjustRightInd w:val="0"/>
        <w:snapToGrid w:val="0"/>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（一）落实政策，促进发展，维护稳定，加强管理，提供服务。</w:t>
      </w:r>
    </w:p>
    <w:p>
      <w:pPr>
        <w:adjustRightInd w:val="0"/>
        <w:snapToGrid w:val="0"/>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二）贯彻执行党的路线，方针，政策，讨论决定本乡经济建设和社会发展的重大问题；领导各部门和群众组织，依照国家法律法规及各自章程行使职权；加强乡党委自身建设和村级组织建设；按照干部管理权限，负责对干部的教育，培养，选拔和监督工作；密切联系群众，为全乡农村经济和社会事业发展做好服务。</w:t>
      </w:r>
    </w:p>
    <w:p>
      <w:pPr>
        <w:adjustRightInd w:val="0"/>
        <w:snapToGrid w:val="0"/>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（三）人员概况：本单位编制为90人，其中行政编制</w:t>
      </w:r>
      <w:r>
        <w:rPr>
          <w:rFonts w:ascii="楷体_GB2312" w:hAnsi="宋体" w:eastAsia="楷体_GB2312" w:cs="Courier New"/>
          <w:kern w:val="0"/>
          <w:sz w:val="32"/>
          <w:szCs w:val="32"/>
        </w:rPr>
        <w:t>3</w:t>
      </w:r>
      <w:r>
        <w:rPr>
          <w:rFonts w:hint="eastAsia" w:ascii="楷体_GB2312" w:hAnsi="宋体" w:eastAsia="楷体_GB2312" w:cs="Courier New"/>
          <w:kern w:val="0"/>
          <w:sz w:val="32"/>
          <w:szCs w:val="32"/>
        </w:rPr>
        <w:t>0人，工勤编制</w:t>
      </w:r>
      <w:r>
        <w:rPr>
          <w:rFonts w:ascii="楷体_GB2312" w:hAnsi="宋体" w:eastAsia="楷体_GB2312" w:cs="Courier New"/>
          <w:kern w:val="0"/>
          <w:sz w:val="32"/>
          <w:szCs w:val="32"/>
        </w:rPr>
        <w:t>3</w:t>
      </w:r>
      <w:r>
        <w:rPr>
          <w:rFonts w:hint="eastAsia" w:ascii="楷体_GB2312" w:hAnsi="宋体" w:eastAsia="楷体_GB2312" w:cs="Courier New"/>
          <w:kern w:val="0"/>
          <w:sz w:val="32"/>
          <w:szCs w:val="32"/>
        </w:rPr>
        <w:t>人，事业编制42人，现实有在职82人，退休</w:t>
      </w:r>
      <w:r>
        <w:rPr>
          <w:rFonts w:ascii="楷体_GB2312" w:hAnsi="宋体" w:eastAsia="楷体_GB2312" w:cs="Courier New"/>
          <w:kern w:val="0"/>
          <w:sz w:val="32"/>
          <w:szCs w:val="32"/>
        </w:rPr>
        <w:t>4</w:t>
      </w:r>
      <w:r>
        <w:rPr>
          <w:rFonts w:hint="eastAsia" w:ascii="楷体_GB2312" w:hAnsi="宋体" w:eastAsia="楷体_GB2312" w:cs="Courier New"/>
          <w:kern w:val="0"/>
          <w:sz w:val="32"/>
          <w:szCs w:val="32"/>
          <w:lang w:val="en-US" w:eastAsia="zh-CN"/>
        </w:rPr>
        <w:t>9</w:t>
      </w:r>
      <w:r>
        <w:rPr>
          <w:rFonts w:hint="eastAsia" w:ascii="楷体_GB2312" w:hAnsi="宋体" w:eastAsia="楷体_GB2312" w:cs="Courier New"/>
          <w:kern w:val="0"/>
          <w:sz w:val="32"/>
          <w:szCs w:val="32"/>
        </w:rPr>
        <w:t>人。</w:t>
      </w:r>
    </w:p>
    <w:p>
      <w:pPr>
        <w:adjustRightInd w:val="0"/>
        <w:snapToGrid w:val="0"/>
        <w:spacing w:line="360" w:lineRule="auto"/>
        <w:ind w:left="1360"/>
        <w:rPr>
          <w:rFonts w:hint="default" w:ascii="黑体" w:hAnsi="黑体" w:eastAsia="黑体"/>
          <w:bCs/>
          <w:sz w:val="32"/>
          <w:szCs w:val="32"/>
          <w:lang w:val="en-US" w:eastAsia="zh-CN"/>
        </w:rPr>
      </w:pPr>
    </w:p>
    <w:p>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pPr>
        <w:pStyle w:val="2"/>
        <w:spacing w:line="360" w:lineRule="auto"/>
        <w:ind w:firstLine="600"/>
        <w:rPr>
          <w:rFonts w:ascii="仿宋_GB2312" w:hAnsi="宋体" w:eastAsia="仿宋_GB2312" w:cs="宋体"/>
          <w:sz w:val="32"/>
          <w:szCs w:val="32"/>
        </w:rPr>
      </w:pPr>
      <w:r>
        <w:rPr>
          <w:rFonts w:hint="eastAsia" w:ascii="仿宋_GB2312" w:hAnsi="宋体" w:eastAsia="仿宋_GB2312" w:cs="宋体"/>
          <w:sz w:val="32"/>
          <w:szCs w:val="32"/>
          <w:lang w:eastAsia="zh-CN"/>
        </w:rPr>
        <w:t>本部门预算包括机关本级预算和下级所属单位预算</w:t>
      </w:r>
      <w:r>
        <w:rPr>
          <w:rFonts w:hint="eastAsia" w:ascii="仿宋_GB2312" w:hAnsi="宋体" w:eastAsia="仿宋_GB2312" w:cs="宋体"/>
          <w:sz w:val="32"/>
          <w:szCs w:val="32"/>
        </w:rPr>
        <w:t>。本</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预算为汇总预算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有二级机构</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个，三级预算单位</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个。纳入202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年度部门预算编报范围的预算单位如下：</w:t>
      </w:r>
      <w:r>
        <w:rPr>
          <w:rFonts w:ascii="仿宋_GB2312" w:hAnsi="宋体" w:eastAsia="仿宋_GB2312" w:cs="宋体"/>
          <w:sz w:val="32"/>
          <w:szCs w:val="32"/>
        </w:rPr>
        <w:t xml:space="preserve"> </w:t>
      </w:r>
    </w:p>
    <w:p>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东风乡人民政府机关本级</w:t>
      </w:r>
    </w:p>
    <w:p>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东风乡人民政府文化服务中心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东风乡人民政府村镇建设发展中心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东风乡人民政府农业服务中心中心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pPr>
        <w:pStyle w:val="2"/>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东风乡人民政府计划生育服务中心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pPr>
        <w:adjustRightInd w:val="0"/>
        <w:snapToGrid w:val="0"/>
        <w:spacing w:line="360" w:lineRule="auto"/>
        <w:jc w:val="both"/>
        <w:rPr>
          <w:rFonts w:hint="default" w:ascii="黑体" w:hAnsi="Times New Roman" w:eastAsia="黑体" w:cs="黑体"/>
          <w:sz w:val="32"/>
          <w:szCs w:val="32"/>
          <w:lang w:val="en-US" w:eastAsia="zh-CN"/>
        </w:rPr>
      </w:pPr>
      <w:r>
        <w:rPr>
          <w:rFonts w:hint="eastAsia" w:ascii="黑体" w:hAnsi="Times New Roman" w:eastAsia="黑体" w:cs="黑体"/>
          <w:sz w:val="32"/>
          <w:szCs w:val="32"/>
          <w:lang w:val="en-US" w:eastAsia="zh-CN"/>
        </w:rPr>
        <w:t xml:space="preserve">    </w:t>
      </w:r>
      <w:r>
        <w:rPr>
          <w:rFonts w:hint="eastAsia" w:ascii="仿宋_GB2312" w:hAnsi="宋体" w:eastAsia="仿宋_GB2312" w:cs="宋体"/>
          <w:kern w:val="2"/>
          <w:sz w:val="32"/>
          <w:szCs w:val="32"/>
          <w:lang w:val="en-US" w:eastAsia="zh-CN" w:bidi="ar-SA"/>
        </w:rPr>
        <w:t>6</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东风乡人民政府国土资源所</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级）</w:t>
      </w:r>
    </w:p>
    <w:p>
      <w:pPr>
        <w:adjustRightInd w:val="0"/>
        <w:snapToGrid w:val="0"/>
        <w:spacing w:line="360" w:lineRule="auto"/>
        <w:jc w:val="both"/>
        <w:rPr>
          <w:rFonts w:hint="default" w:ascii="黑体" w:hAnsi="Times New Roman" w:eastAsia="黑体" w:cs="黑体"/>
          <w:sz w:val="32"/>
          <w:szCs w:val="32"/>
          <w:lang w:val="en-US" w:eastAsia="zh-CN"/>
        </w:rPr>
      </w:pPr>
    </w:p>
    <w:p>
      <w:pPr>
        <w:adjustRightInd w:val="0"/>
        <w:snapToGrid w:val="0"/>
        <w:spacing w:line="360" w:lineRule="auto"/>
        <w:ind w:firstLine="4016" w:firstLineChars="1000"/>
        <w:jc w:val="both"/>
        <w:rPr>
          <w:rFonts w:ascii="宋体" w:hAns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w:t>
      </w:r>
      <w:r>
        <w:rPr>
          <w:rFonts w:hint="eastAsia" w:ascii="黑体" w:hAnsi="Times New Roman" w:eastAsia="黑体" w:cs="黑体"/>
          <w:b/>
          <w:bCs/>
          <w:sz w:val="40"/>
          <w:szCs w:val="32"/>
        </w:rPr>
        <w:t>2</w:t>
      </w:r>
      <w:r>
        <w:rPr>
          <w:rFonts w:hint="eastAsia" w:ascii="黑体" w:hAnsi="Times New Roman" w:eastAsia="黑体" w:cs="黑体"/>
          <w:b/>
          <w:bCs/>
          <w:sz w:val="40"/>
          <w:szCs w:val="32"/>
          <w:lang w:val="en-US" w:eastAsia="zh-CN"/>
        </w:rPr>
        <w:t>2</w:t>
      </w:r>
      <w:r>
        <w:rPr>
          <w:rFonts w:hint="eastAsia" w:ascii="黑体" w:hAnsi="Times New Roman" w:eastAsia="黑体" w:cs="黑体"/>
          <w:b/>
          <w:bCs/>
          <w:sz w:val="40"/>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r>
        <w:rPr>
          <w:rFonts w:ascii="黑体" w:hAnsi="黑体" w:eastAsia="黑体"/>
          <w:color w:val="FF0000"/>
          <w:sz w:val="32"/>
          <w:szCs w:val="32"/>
        </w:rPr>
        <w:t xml:space="preserve">                    </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年收入总计</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年相比，收支总计各</w:t>
      </w:r>
      <w:r>
        <w:rPr>
          <w:rFonts w:hint="eastAsia" w:ascii="仿宋_GB2312" w:hAnsi="宋体" w:eastAsia="仿宋_GB2312" w:cs="Courier New"/>
          <w:color w:val="auto"/>
          <w:sz w:val="32"/>
          <w:szCs w:val="32"/>
        </w:rPr>
        <w:t>增加</w:t>
      </w:r>
      <w:r>
        <w:rPr>
          <w:rFonts w:hint="eastAsia" w:ascii="仿宋_GB2312" w:hAnsi="宋体" w:eastAsia="仿宋_GB2312" w:cs="Courier New"/>
          <w:color w:val="auto"/>
          <w:sz w:val="32"/>
          <w:szCs w:val="32"/>
          <w:lang w:val="en-US" w:eastAsia="zh-CN"/>
        </w:rPr>
        <w:t>1570.2</w:t>
      </w:r>
      <w:r>
        <w:rPr>
          <w:rFonts w:hint="eastAsia" w:ascii="仿宋_GB2312" w:hAnsi="宋体" w:eastAsia="仿宋_GB2312" w:cs="Courier New"/>
          <w:sz w:val="32"/>
          <w:szCs w:val="32"/>
        </w:rPr>
        <w:t>万元，</w:t>
      </w:r>
      <w:r>
        <w:rPr>
          <w:rFonts w:hint="eastAsia" w:ascii="仿宋_GB2312" w:hAnsi="宋体" w:eastAsia="仿宋_GB2312" w:cs="Courier New"/>
          <w:color w:val="auto"/>
          <w:sz w:val="32"/>
          <w:szCs w:val="32"/>
        </w:rPr>
        <w:t>增长</w:t>
      </w:r>
      <w:r>
        <w:rPr>
          <w:rFonts w:hint="eastAsia" w:ascii="仿宋_GB2312" w:hAnsi="宋体" w:eastAsia="仿宋_GB2312" w:cs="Courier New"/>
          <w:color w:val="auto"/>
          <w:sz w:val="32"/>
          <w:szCs w:val="32"/>
          <w:lang w:val="en-US" w:eastAsia="zh-CN"/>
        </w:rPr>
        <w:t>70.8</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因政策性的调整，财政的体制改革，新增工作中发展与治理的需要，所以加大了一般公共预算的支出费用</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二、部门收入总体情况说明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年收入合计</w:t>
      </w:r>
      <w:r>
        <w:rPr>
          <w:rFonts w:hint="eastAsia" w:ascii="仿宋_GB2312" w:hAnsi="Times New Roman" w:eastAsia="仿宋_GB2312"/>
          <w:sz w:val="32"/>
          <w:szCs w:val="32"/>
          <w:lang w:val="en-US" w:eastAsia="zh-CN"/>
        </w:rPr>
        <w:t>3787.2</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3787.2</w:t>
      </w:r>
      <w:r>
        <w:rPr>
          <w:rFonts w:hint="eastAsia" w:ascii="仿宋_GB2312" w:eastAsia="仿宋_GB2312"/>
          <w:sz w:val="32"/>
          <w:szCs w:val="32"/>
        </w:rPr>
        <w:t>万元</w:t>
      </w:r>
      <w:r>
        <w:rPr>
          <w:rFonts w:ascii="仿宋_GB2312" w:eastAsia="仿宋_GB2312"/>
          <w:sz w:val="32"/>
          <w:szCs w:val="32"/>
        </w:rPr>
        <w:t>;</w:t>
      </w:r>
      <w:r>
        <w:rPr>
          <w:rFonts w:ascii="仿宋_GB2312" w:hAnsi="Times New Roman" w:eastAsia="仿宋_GB2312"/>
          <w:sz w:val="32"/>
          <w:szCs w:val="32"/>
        </w:rPr>
        <w:t xml:space="preserve"> </w:t>
      </w:r>
      <w:r>
        <w:rPr>
          <w:rFonts w:hint="eastAsia" w:ascii="仿宋_GB2312" w:hAnsi="Times New Roman" w:eastAsia="仿宋_GB2312"/>
          <w:sz w:val="32"/>
          <w:szCs w:val="32"/>
        </w:rPr>
        <w:t>政府性基金收入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万元；专户管理的教育收费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万元；国有资本经营预算收入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年支出合计</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2109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55.7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1678.2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44.3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四、财政拨款收支总体情况说明</w:t>
      </w:r>
      <w:r>
        <w:rPr>
          <w:rFonts w:ascii="黑体" w:hAnsi="黑体" w:eastAsia="黑体"/>
          <w:color w:val="FF0000"/>
          <w:sz w:val="32"/>
          <w:szCs w:val="32"/>
        </w:rPr>
        <w:t xml:space="preserve">         </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年一般公共预算收支预算</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万元，政府性基金收支预算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年相比，一般公共预算收支预算</w:t>
      </w:r>
      <w:r>
        <w:rPr>
          <w:rFonts w:hint="eastAsia" w:ascii="仿宋_GB2312" w:hAnsi="宋体" w:eastAsia="仿宋_GB2312" w:cs="Courier New"/>
          <w:color w:val="auto"/>
          <w:sz w:val="32"/>
          <w:szCs w:val="32"/>
        </w:rPr>
        <w:t>增加</w:t>
      </w:r>
      <w:r>
        <w:rPr>
          <w:rFonts w:hint="eastAsia" w:ascii="仿宋_GB2312" w:hAnsi="宋体" w:eastAsia="仿宋_GB2312" w:cs="Courier New"/>
          <w:color w:val="auto"/>
          <w:sz w:val="32"/>
          <w:szCs w:val="32"/>
          <w:lang w:val="en-US" w:eastAsia="zh-CN"/>
        </w:rPr>
        <w:t>1570.2</w:t>
      </w:r>
      <w:r>
        <w:rPr>
          <w:rFonts w:hint="eastAsia" w:ascii="仿宋_GB2312" w:hAnsi="宋体" w:eastAsia="仿宋_GB2312" w:cs="Courier New"/>
          <w:sz w:val="32"/>
          <w:szCs w:val="32"/>
        </w:rPr>
        <w:t>万元，</w:t>
      </w:r>
      <w:r>
        <w:rPr>
          <w:rFonts w:hint="eastAsia" w:ascii="仿宋_GB2312" w:hAnsi="宋体" w:eastAsia="仿宋_GB2312" w:cs="Courier New"/>
          <w:color w:val="auto"/>
          <w:sz w:val="32"/>
          <w:szCs w:val="32"/>
        </w:rPr>
        <w:t>增长</w:t>
      </w:r>
      <w:r>
        <w:rPr>
          <w:rFonts w:hint="eastAsia" w:ascii="仿宋_GB2312" w:hAnsi="宋体" w:eastAsia="仿宋_GB2312" w:cs="Courier New"/>
          <w:color w:val="auto"/>
          <w:sz w:val="32"/>
          <w:szCs w:val="32"/>
          <w:lang w:val="en-US" w:eastAsia="zh-CN"/>
        </w:rPr>
        <w:t>70.8</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因政策性的调整，财政体制的改革，新增工作发展与治理的需要，加大了一般公共预算费用的增加。</w:t>
      </w:r>
      <w:r>
        <w:rPr>
          <w:rFonts w:hint="eastAsia" w:ascii="仿宋_GB2312" w:hAnsi="宋体" w:eastAsia="仿宋_GB2312" w:cs="Courier New"/>
          <w:sz w:val="32"/>
          <w:szCs w:val="32"/>
        </w:rPr>
        <w:t>政府性基金收支预算</w:t>
      </w:r>
      <w:r>
        <w:rPr>
          <w:rFonts w:hint="eastAsia" w:ascii="仿宋_GB2312" w:hAnsi="宋体" w:eastAsia="仿宋_GB2312" w:cs="Courier New"/>
          <w:sz w:val="32"/>
          <w:szCs w:val="32"/>
          <w:lang w:val="en-US" w:eastAsia="zh-CN"/>
        </w:rPr>
        <w:t>0万元。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w:t>
      </w:r>
      <w:r>
        <w:rPr>
          <w:rFonts w:hint="eastAsia" w:ascii="黑体" w:hAnsi="黑体" w:eastAsia="黑体"/>
          <w:sz w:val="32"/>
          <w:szCs w:val="32"/>
          <w:lang w:eastAsia="zh-CN"/>
        </w:rPr>
        <w:t>支出</w:t>
      </w:r>
      <w:r>
        <w:rPr>
          <w:rFonts w:hint="eastAsia" w:ascii="黑体" w:hAnsi="黑体" w:eastAsia="黑体"/>
          <w:sz w:val="32"/>
          <w:szCs w:val="32"/>
        </w:rPr>
        <w:t>情况说明</w:t>
      </w:r>
      <w:r>
        <w:rPr>
          <w:rFonts w:ascii="黑体" w:hAnsi="黑体" w:eastAsia="黑体"/>
          <w:color w:val="FF0000"/>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一般公共预算支出年初预算为</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2109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55.7</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1678.2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44.3</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r>
        <w:rPr>
          <w:rFonts w:ascii="黑体" w:hAnsi="黑体" w:eastAsia="黑体"/>
          <w:color w:val="FF0000"/>
          <w:sz w:val="32"/>
          <w:szCs w:val="32"/>
        </w:rPr>
        <w:t xml:space="preserve">                   </w:t>
      </w:r>
    </w:p>
    <w:p>
      <w:pPr>
        <w:spacing w:line="560" w:lineRule="exact"/>
        <w:ind w:firstLine="640" w:firstLineChars="200"/>
        <w:rPr>
          <w:rFonts w:ascii="仿宋_GB2312" w:hAnsi="宋体" w:eastAsia="仿宋_GB2312" w:cs="Courier New"/>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一般公共预算基本支出年初预算为</w:t>
      </w:r>
      <w:r>
        <w:rPr>
          <w:rFonts w:hint="eastAsia" w:ascii="仿宋_GB2312" w:hAnsi="宋体" w:eastAsia="仿宋_GB2312" w:cs="Courier New"/>
          <w:sz w:val="32"/>
          <w:szCs w:val="32"/>
          <w:lang w:val="en-US" w:eastAsia="zh-CN"/>
        </w:rPr>
        <w:t>3787.2</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人员经费</w:t>
      </w:r>
      <w:r>
        <w:rPr>
          <w:rFonts w:hint="eastAsia" w:ascii="仿宋_GB2312" w:hAnsi="宋体" w:eastAsia="仿宋_GB2312" w:cs="Courier New"/>
          <w:sz w:val="32"/>
          <w:szCs w:val="32"/>
          <w:lang w:val="en-US" w:eastAsia="zh-CN"/>
        </w:rPr>
        <w:t>1149.84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30.8</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公用经费</w:t>
      </w:r>
      <w:r>
        <w:rPr>
          <w:rFonts w:hint="eastAsia" w:ascii="仿宋_GB2312" w:hAnsi="宋体" w:eastAsia="仿宋_GB2312" w:cs="Courier New"/>
          <w:sz w:val="32"/>
          <w:szCs w:val="32"/>
          <w:lang w:val="en-US" w:eastAsia="zh-CN"/>
        </w:rPr>
        <w:t>959.16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25.6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七、</w:t>
      </w:r>
      <w:r>
        <w:rPr>
          <w:rFonts w:ascii="黑体" w:hAnsi="Times New Roman" w:eastAsia="黑体" w:cs="黑体"/>
          <w:kern w:val="0"/>
          <w:sz w:val="32"/>
          <w:szCs w:val="32"/>
        </w:rPr>
        <w:t xml:space="preserve"> </w:t>
      </w:r>
      <w:r>
        <w:rPr>
          <w:rFonts w:hint="eastAsia" w:ascii="黑体" w:hAnsi="Times New Roman" w:eastAsia="黑体" w:cs="黑体"/>
          <w:kern w:val="0"/>
          <w:sz w:val="32"/>
          <w:szCs w:val="32"/>
        </w:rPr>
        <w:t>一般公共预算“三公”经费支出情况说明</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lang w:eastAsia="zh-CN"/>
        </w:rPr>
        <w:t>我部门</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年“三公”经费预算为</w:t>
      </w:r>
      <w:r>
        <w:rPr>
          <w:rFonts w:hint="eastAsia" w:ascii="仿宋_GB2312" w:hAnsi="宋体" w:eastAsia="仿宋_GB2312" w:cs="Courier New"/>
          <w:sz w:val="32"/>
          <w:szCs w:val="32"/>
          <w:lang w:val="en-US" w:eastAsia="zh-CN"/>
        </w:rPr>
        <w:t>12.5</w:t>
      </w:r>
      <w:r>
        <w:rPr>
          <w:rFonts w:hint="eastAsia" w:ascii="仿宋_GB2312" w:hAnsi="宋体" w:eastAsia="仿宋_GB2312" w:cs="Courier New"/>
          <w:sz w:val="32"/>
          <w:szCs w:val="32"/>
        </w:rPr>
        <w:t>万元。</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年“三公”经费支出预算数比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w:t>
      </w:r>
      <w:r>
        <w:rPr>
          <w:rFonts w:hint="eastAsia" w:ascii="仿宋_GB2312" w:hAnsi="宋体" w:eastAsia="仿宋_GB2312" w:cs="Courier New"/>
          <w:color w:val="auto"/>
          <w:sz w:val="32"/>
          <w:szCs w:val="32"/>
        </w:rPr>
        <w:t>减少</w:t>
      </w:r>
      <w:r>
        <w:rPr>
          <w:rFonts w:hint="eastAsia" w:ascii="仿宋_GB2312" w:hAnsi="宋体" w:eastAsia="仿宋_GB2312" w:cs="Courier New"/>
          <w:color w:val="auto"/>
          <w:sz w:val="32"/>
          <w:szCs w:val="32"/>
          <w:lang w:val="en-US" w:eastAsia="zh-CN"/>
        </w:rPr>
        <w:t>5.5</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kinsoku w:val="0"/>
        <w:overflowPunct w:val="0"/>
        <w:autoSpaceDE w:val="0"/>
        <w:autoSpaceDN w:val="0"/>
        <w:adjustRightInd w:val="0"/>
        <w:snapToGrid w:val="0"/>
        <w:spacing w:line="560" w:lineRule="exact"/>
        <w:ind w:firstLine="639" w:firstLineChars="200"/>
        <w:rPr>
          <w:rFonts w:hint="eastAsia" w:ascii="仿宋_GB2312" w:hAnsi="宋体" w:eastAsia="仿宋_GB2312" w:cs="Courier New"/>
          <w:sz w:val="32"/>
          <w:szCs w:val="32"/>
          <w:lang w:val="en-US" w:eastAsia="zh-CN"/>
        </w:rPr>
      </w:pPr>
      <w:r>
        <w:rPr>
          <w:rFonts w:hint="eastAsia" w:ascii="仿宋_GB2312" w:hAnsi="Times New Roman" w:eastAsia="仿宋_GB2312" w:cs="仿宋_GB2312"/>
          <w:b/>
          <w:spacing w:val="-1"/>
          <w:kern w:val="0"/>
          <w:sz w:val="32"/>
          <w:szCs w:val="32"/>
        </w:rPr>
        <w:t>（一）因公出国（境）费</w:t>
      </w:r>
      <w:r>
        <w:rPr>
          <w:rFonts w:hint="eastAsia" w:ascii="仿宋_GB2312" w:hAnsi="Times New Roman" w:eastAsia="仿宋_GB2312" w:cs="仿宋_GB2312"/>
          <w:b/>
          <w:spacing w:val="-1"/>
          <w:kern w:val="0"/>
          <w:sz w:val="32"/>
          <w:szCs w:val="32"/>
          <w:lang w:val="en-US" w:eastAsia="zh-CN"/>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主要用于单位工作人员公务出国（境）的住宿费、旅费、伙食补助费、杂费、培训费等支出。因公出国（境）费预算数与</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年相比，</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560" w:lineRule="exact"/>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hAnsi="Times New Roman" w:eastAsia="仿宋_GB2312" w:cs="仿宋_GB2312"/>
          <w:b/>
          <w:spacing w:val="-1"/>
          <w:kern w:val="0"/>
          <w:sz w:val="32"/>
          <w:szCs w:val="32"/>
          <w:lang w:val="en-US" w:eastAsia="zh-CN"/>
        </w:rPr>
        <w:t>7.5</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万元；公务用车运行维护费</w:t>
      </w:r>
      <w:r>
        <w:rPr>
          <w:rFonts w:hint="eastAsia" w:ascii="仿宋_GB2312" w:hAnsi="宋体" w:eastAsia="仿宋_GB2312" w:cs="Courier New"/>
          <w:sz w:val="32"/>
          <w:szCs w:val="32"/>
          <w:lang w:val="en-US" w:eastAsia="zh-CN"/>
        </w:rPr>
        <w:t>7.5</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万元，主要用于开展工作所需公务用车的燃料费、维修费、过路过桥费、保险费、安全奖励费用等支出。公务用车购置费预算数与</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年相比</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公务用车运行维护费预算数比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w:t>
      </w:r>
      <w:bookmarkStart w:id="0" w:name="OLE_LINK1"/>
      <w:r>
        <w:rPr>
          <w:rFonts w:hint="eastAsia" w:ascii="仿宋_GB2312" w:hAnsi="宋体" w:eastAsia="仿宋_GB2312" w:cs="Courier New"/>
          <w:color w:val="auto"/>
          <w:sz w:val="32"/>
          <w:szCs w:val="32"/>
        </w:rPr>
        <w:t>增加</w:t>
      </w:r>
      <w:r>
        <w:rPr>
          <w:rFonts w:hint="eastAsia" w:ascii="仿宋_GB2312" w:hAnsi="宋体" w:eastAsia="仿宋_GB2312" w:cs="Courier New"/>
          <w:color w:val="auto"/>
          <w:sz w:val="32"/>
          <w:szCs w:val="32"/>
          <w:lang w:val="en-US" w:eastAsia="zh-CN"/>
        </w:rPr>
        <w:t>0.5</w:t>
      </w:r>
      <w:r>
        <w:rPr>
          <w:rFonts w:hint="eastAsia" w:ascii="仿宋_GB2312" w:hAnsi="宋体" w:eastAsia="仿宋_GB2312" w:cs="Courier New"/>
          <w:sz w:val="32"/>
          <w:szCs w:val="32"/>
        </w:rPr>
        <w:t>万元</w:t>
      </w:r>
      <w:bookmarkEnd w:id="0"/>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车辆的维修</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hAnsi="Times New Roman" w:eastAsia="仿宋_GB2312" w:cs="仿宋_GB2312"/>
          <w:b/>
          <w:spacing w:val="-1"/>
          <w:kern w:val="0"/>
          <w:sz w:val="32"/>
          <w:szCs w:val="32"/>
          <w:lang w:val="en-US" w:eastAsia="zh-CN"/>
        </w:rPr>
        <w:t>5</w:t>
      </w:r>
      <w:r>
        <w:rPr>
          <w:rFonts w:hint="eastAsia" w:ascii="仿宋_GB2312" w:hAnsi="宋体" w:eastAsia="仿宋_GB2312" w:cs="Courier New"/>
          <w:sz w:val="32"/>
          <w:szCs w:val="32"/>
        </w:rPr>
        <w:t>万元，主要用于按规定开支的各类公务接待（含外宾接待）支出。公务接待费预算数比</w:t>
      </w:r>
      <w:r>
        <w:rPr>
          <w:rFonts w:ascii="仿宋_GB2312" w:hAnsi="宋体" w:eastAsia="仿宋_GB2312" w:cs="Courier New"/>
          <w:sz w:val="32"/>
          <w:szCs w:val="32"/>
        </w:rPr>
        <w:t xml:space="preserve"> 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w:t>
      </w:r>
      <w:r>
        <w:rPr>
          <w:rFonts w:hint="eastAsia" w:ascii="仿宋_GB2312" w:hAnsi="宋体" w:eastAsia="仿宋_GB2312" w:cs="Courier New"/>
          <w:color w:val="auto"/>
          <w:sz w:val="32"/>
          <w:szCs w:val="32"/>
        </w:rPr>
        <w:t>减少</w:t>
      </w:r>
      <w:r>
        <w:rPr>
          <w:rFonts w:hint="eastAsia" w:ascii="仿宋_GB2312" w:hAnsi="宋体" w:eastAsia="仿宋_GB2312" w:cs="Courier New"/>
          <w:color w:val="auto"/>
          <w:sz w:val="32"/>
          <w:szCs w:val="32"/>
          <w:lang w:val="en-US" w:eastAsia="zh-CN"/>
        </w:rPr>
        <w:t>4</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eastAsia="zh-CN"/>
        </w:rPr>
        <w:t>压缩开支减少招待费用</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pPr>
        <w:spacing w:line="560" w:lineRule="exact"/>
        <w:ind w:firstLine="640" w:firstLineChars="200"/>
        <w:rPr>
          <w:rFonts w:hint="eastAsia" w:ascii="仿宋_GB2312" w:eastAsia="仿宋_GB2312"/>
          <w:b/>
          <w:color w:val="auto"/>
          <w:sz w:val="32"/>
          <w:szCs w:val="32"/>
          <w:lang w:eastAsia="zh-CN"/>
        </w:rPr>
      </w:pPr>
      <w:r>
        <w:rPr>
          <w:rFonts w:hint="eastAsia" w:ascii="仿宋_GB2312" w:eastAsia="仿宋_GB2312"/>
          <w:b w:val="0"/>
          <w:bCs/>
          <w:sz w:val="32"/>
          <w:szCs w:val="32"/>
          <w:lang w:eastAsia="zh-CN"/>
        </w:rPr>
        <w:t>我部门</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2</w:t>
      </w:r>
      <w:r>
        <w:rPr>
          <w:rFonts w:hint="eastAsia" w:ascii="仿宋_GB2312" w:eastAsia="仿宋_GB2312"/>
          <w:b w:val="0"/>
          <w:bCs/>
          <w:sz w:val="32"/>
          <w:szCs w:val="32"/>
        </w:rPr>
        <w:t>年政府性基金预算安排支出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hAnsi="宋体" w:eastAsia="仿宋_GB2312" w:cs="Courier New"/>
          <w:sz w:val="32"/>
          <w:szCs w:val="32"/>
        </w:rPr>
        <w:t>其中：基本支出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eastAsia="仿宋_GB2312"/>
          <w:b/>
          <w:color w:val="auto"/>
          <w:sz w:val="32"/>
          <w:szCs w:val="32"/>
          <w:lang w:eastAsia="zh-CN"/>
        </w:rPr>
        <w:t>。</w:t>
      </w:r>
    </w:p>
    <w:p>
      <w:pPr>
        <w:spacing w:line="560" w:lineRule="exact"/>
        <w:ind w:firstLine="640" w:firstLineChars="200"/>
        <w:rPr>
          <w:rFonts w:ascii="仿宋_GB2312" w:hAnsi="宋体" w:eastAsia="仿宋_GB2312" w:cs="Courier New"/>
          <w:sz w:val="32"/>
          <w:szCs w:val="32"/>
        </w:rPr>
      </w:pPr>
      <w:r>
        <w:rPr>
          <w:rFonts w:hint="eastAsia" w:ascii="仿宋_GB2312" w:eastAsia="仿宋_GB2312"/>
          <w:b w:val="0"/>
          <w:bCs/>
          <w:color w:val="auto"/>
          <w:sz w:val="32"/>
          <w:szCs w:val="32"/>
          <w:lang w:eastAsia="zh-CN"/>
        </w:rPr>
        <w:t>我部门</w:t>
      </w:r>
      <w:r>
        <w:rPr>
          <w:rFonts w:hint="eastAsia" w:ascii="仿宋_GB2312" w:eastAsia="仿宋_GB2312"/>
          <w:b w:val="0"/>
          <w:bCs/>
          <w:color w:val="auto"/>
          <w:sz w:val="32"/>
          <w:szCs w:val="32"/>
          <w:lang w:val="en-US" w:eastAsia="zh-CN"/>
        </w:rPr>
        <w:t>2022年没有使用政府性基金预算拨款安排的支出</w:t>
      </w:r>
    </w:p>
    <w:p>
      <w:pPr>
        <w:spacing w:line="560" w:lineRule="exact"/>
        <w:ind w:firstLine="640" w:firstLineChars="200"/>
        <w:rPr>
          <w:rFonts w:hint="eastAsia" w:ascii="黑体" w:hAnsi="Times New Roman" w:eastAsia="黑体" w:cs="黑体"/>
          <w:kern w:val="0"/>
          <w:sz w:val="32"/>
          <w:szCs w:val="32"/>
          <w:lang w:eastAsia="zh-CN"/>
        </w:rPr>
      </w:pPr>
      <w:r>
        <w:rPr>
          <w:rFonts w:hint="eastAsia" w:ascii="黑体" w:hAnsi="Times New Roman" w:eastAsia="黑体" w:cs="黑体"/>
          <w:kern w:val="0"/>
          <w:sz w:val="32"/>
          <w:szCs w:val="32"/>
          <w:lang w:eastAsia="zh-CN"/>
        </w:rPr>
        <w:t>九、上年结转</w:t>
      </w:r>
      <w:r>
        <w:rPr>
          <w:rFonts w:hint="eastAsia" w:ascii="黑体" w:hAnsi="Times New Roman" w:eastAsia="黑体" w:cs="黑体"/>
          <w:kern w:val="0"/>
          <w:sz w:val="32"/>
          <w:szCs w:val="32"/>
        </w:rPr>
        <w:t>情况</w:t>
      </w:r>
      <w:r>
        <w:rPr>
          <w:rFonts w:hint="eastAsia" w:ascii="黑体" w:hAnsi="Times New Roman" w:eastAsia="黑体" w:cs="黑体"/>
          <w:kern w:val="0"/>
          <w:sz w:val="32"/>
          <w:szCs w:val="32"/>
          <w:lang w:eastAsia="zh-CN"/>
        </w:rPr>
        <w:t>说明</w:t>
      </w:r>
    </w:p>
    <w:p>
      <w:pPr>
        <w:spacing w:line="560" w:lineRule="exact"/>
        <w:ind w:firstLine="640" w:firstLineChars="200"/>
        <w:rPr>
          <w:rFonts w:hint="eastAsia" w:ascii="仿宋_GB2312" w:eastAsia="仿宋_GB2312" w:cs="Times New Roman"/>
          <w:b/>
          <w:color w:val="000000"/>
          <w:sz w:val="32"/>
          <w:szCs w:val="32"/>
          <w:shd w:val="clear" w:color="auto" w:fill="FFFFFF"/>
          <w:lang w:eastAsia="zh-CN"/>
        </w:rPr>
      </w:pPr>
      <w:r>
        <w:rPr>
          <w:rFonts w:hint="eastAsia" w:ascii="仿宋_GB2312" w:eastAsia="仿宋_GB2312"/>
          <w:b w:val="0"/>
          <w:bCs/>
          <w:sz w:val="32"/>
          <w:szCs w:val="32"/>
          <w:lang w:eastAsia="zh-CN"/>
        </w:rPr>
        <w:t>我部门</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2</w:t>
      </w:r>
      <w:r>
        <w:rPr>
          <w:rFonts w:hint="eastAsia" w:ascii="仿宋_GB2312" w:eastAsia="仿宋_GB2312"/>
          <w:b w:val="0"/>
          <w:bCs/>
          <w:sz w:val="32"/>
          <w:szCs w:val="32"/>
        </w:rPr>
        <w:t>年</w:t>
      </w:r>
      <w:r>
        <w:rPr>
          <w:rFonts w:hint="eastAsia" w:ascii="仿宋_GB2312" w:eastAsia="仿宋_GB2312"/>
          <w:b w:val="0"/>
          <w:bCs/>
          <w:sz w:val="32"/>
          <w:szCs w:val="32"/>
          <w:lang w:eastAsia="zh-CN"/>
        </w:rPr>
        <w:t>上年结转资金为</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财政拨款</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kinsoku w:val="0"/>
        <w:overflowPunct w:val="0"/>
        <w:adjustRightInd w:val="0"/>
        <w:snapToGrid w:val="0"/>
        <w:spacing w:line="360" w:lineRule="auto"/>
        <w:ind w:firstLine="643" w:firstLineChars="200"/>
        <w:jc w:val="left"/>
        <w:rPr>
          <w:rFonts w:ascii="仿宋_GB2312" w:hAnsi="Times New Roman" w:eastAsia="仿宋_GB2312" w:cs="仿宋_GB2312"/>
          <w:b/>
          <w:sz w:val="32"/>
          <w:szCs w:val="32"/>
        </w:rPr>
      </w:pPr>
      <w:r>
        <w:rPr>
          <w:rFonts w:hint="eastAsia" w:ascii="仿宋_GB2312" w:eastAsia="仿宋_GB2312"/>
          <w:b/>
          <w:color w:val="000000"/>
          <w:sz w:val="32"/>
          <w:szCs w:val="32"/>
          <w:shd w:val="clear" w:color="auto" w:fill="FFFFFF"/>
          <w:lang w:eastAsia="zh-CN"/>
        </w:rPr>
        <w:t>十、</w:t>
      </w:r>
      <w:r>
        <w:rPr>
          <w:rFonts w:hint="eastAsia" w:ascii="仿宋_GB2312" w:eastAsia="仿宋_GB2312"/>
          <w:b/>
          <w:color w:val="000000"/>
          <w:sz w:val="32"/>
          <w:szCs w:val="32"/>
          <w:shd w:val="clear" w:color="auto" w:fill="FFFFFF"/>
        </w:rPr>
        <w:t>其他重要事项的情况说明</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Courier New"/>
          <w:sz w:val="32"/>
          <w:szCs w:val="32"/>
        </w:rPr>
        <w:t>年机关运行经费支出预算</w:t>
      </w:r>
      <w:r>
        <w:rPr>
          <w:rFonts w:hint="eastAsia" w:ascii="仿宋_GB2312" w:hAnsi="宋体" w:eastAsia="仿宋_GB2312" w:cs="Courier New"/>
          <w:sz w:val="32"/>
          <w:szCs w:val="32"/>
          <w:lang w:val="en-US" w:eastAsia="zh-CN"/>
        </w:rPr>
        <w:t>959.16</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主要保障机构正常运行</w:t>
      </w:r>
      <w:r>
        <w:rPr>
          <w:rFonts w:hint="eastAsia" w:ascii="仿宋_GB2312" w:eastAsia="仿宋_GB2312"/>
          <w:sz w:val="32"/>
          <w:szCs w:val="32"/>
          <w:lang w:eastAsia="zh-CN"/>
        </w:rPr>
        <w:t>及正常履职需要所需支出，包括公用经费、公务交通补贴、工会经费、职工福利等。</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年政府采购预算安排</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1" w:name="_GoBack"/>
      <w:bookmarkEnd w:id="1"/>
      <w:r>
        <w:rPr>
          <w:rFonts w:hint="eastAsia" w:ascii="仿宋_GB2312" w:eastAsia="仿宋_GB2312"/>
          <w:sz w:val="32"/>
          <w:szCs w:val="32"/>
        </w:rPr>
        <w:t>。</w:t>
      </w:r>
    </w:p>
    <w:p>
      <w:pPr>
        <w:kinsoku w:val="0"/>
        <w:overflowPunct w:val="0"/>
        <w:adjustRightInd w:val="0"/>
        <w:snapToGrid w:val="0"/>
        <w:spacing w:line="360" w:lineRule="auto"/>
        <w:ind w:firstLine="482" w:firstLineChars="150"/>
        <w:jc w:val="left"/>
        <w:rPr>
          <w:rFonts w:hint="eastAsia" w:ascii="仿宋_GB2312" w:hAnsi="Times New Roman" w:eastAsia="仿宋_GB2312" w:cs="仿宋_GB2312"/>
          <w:b/>
          <w:sz w:val="32"/>
          <w:szCs w:val="32"/>
          <w:lang w:eastAsia="zh-CN"/>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w:t>
      </w:r>
      <w:r>
        <w:rPr>
          <w:rFonts w:hint="eastAsia" w:ascii="仿宋_GB2312" w:hAnsi="Times New Roman" w:eastAsia="仿宋_GB2312" w:cs="仿宋_GB2312"/>
          <w:b/>
          <w:sz w:val="32"/>
          <w:szCs w:val="32"/>
          <w:lang w:eastAsia="zh-CN"/>
        </w:rPr>
        <w:t>设置情况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highlight w:val="yellow"/>
        </w:rPr>
      </w:pPr>
      <w:r>
        <w:rPr>
          <w:rFonts w:hint="eastAsia" w:ascii="仿宋_GB2312" w:eastAsia="仿宋_GB2312"/>
          <w:sz w:val="32"/>
          <w:szCs w:val="32"/>
          <w:highlight w:val="yellow"/>
        </w:rPr>
        <w:t>我</w:t>
      </w:r>
      <w:r>
        <w:rPr>
          <w:rFonts w:hint="eastAsia" w:ascii="仿宋_GB2312" w:hAnsi="宋体" w:eastAsia="仿宋_GB2312" w:cs="Courier New"/>
          <w:sz w:val="32"/>
          <w:szCs w:val="32"/>
          <w:highlight w:val="yellow"/>
        </w:rPr>
        <w:t>部门</w:t>
      </w:r>
      <w:r>
        <w:rPr>
          <w:rFonts w:hint="eastAsia" w:ascii="仿宋_GB2312" w:hAnsi="宋体" w:eastAsia="仿宋_GB2312" w:cs="Courier New"/>
          <w:sz w:val="32"/>
          <w:szCs w:val="32"/>
          <w:highlight w:val="yellow"/>
          <w:lang w:val="en-US" w:eastAsia="zh-CN"/>
        </w:rPr>
        <w:t>2022年预算项目分别</w:t>
      </w:r>
      <w:r>
        <w:rPr>
          <w:rFonts w:hint="eastAsia" w:ascii="仿宋_GB2312" w:hAnsi="宋体" w:eastAsia="仿宋_GB2312" w:cs="Courier New"/>
          <w:sz w:val="32"/>
          <w:szCs w:val="32"/>
          <w:highlight w:val="yellow"/>
          <w:lang w:eastAsia="zh-CN"/>
        </w:rPr>
        <w:t>从项目产出、项目效益、项目满意度等方面设立了绩效目标，综合反映了预算的数量、质量，社会经济效益、可持续影响及服务对象满意度等情况</w:t>
      </w:r>
      <w:r>
        <w:rPr>
          <w:rFonts w:hint="eastAsia" w:ascii="仿宋_GB2312" w:hAnsi="宋体" w:eastAsia="仿宋_GB2312" w:cs="Courier New"/>
          <w:sz w:val="32"/>
          <w:szCs w:val="32"/>
          <w:highlight w:val="yellow"/>
        </w:rPr>
        <w:t>。</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年末，我部门共有车辆</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我部门负责管理的专项转移支付项目共有</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项，主要是：</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 xml:space="preserve">项目 </w:t>
      </w:r>
      <w:r>
        <w:rPr>
          <w:rFonts w:hint="eastAsia" w:ascii="仿宋_GB2312" w:hAnsi="宋体" w:eastAsia="仿宋_GB2312" w:cs="Courier New"/>
          <w:sz w:val="32"/>
          <w:szCs w:val="32"/>
          <w:lang w:val="en-US" w:eastAsia="zh-CN"/>
        </w:rPr>
        <w:t>0</w:t>
      </w:r>
      <w:r>
        <w:rPr>
          <w:rFonts w:hint="eastAsia" w:ascii="仿宋_GB2312" w:hAnsi="宋体" w:eastAsia="仿宋_GB2312" w:cs="Courier New"/>
          <w:color w:val="FF0000"/>
          <w:sz w:val="32"/>
          <w:szCs w:val="32"/>
        </w:rPr>
        <w:t xml:space="preserve"> </w:t>
      </w:r>
      <w:r>
        <w:rPr>
          <w:rFonts w:hint="eastAsia" w:ascii="仿宋_GB2312" w:hAnsi="宋体" w:eastAsia="仿宋_GB2312" w:cs="Courier New"/>
          <w:sz w:val="32"/>
          <w:szCs w:val="32"/>
        </w:rPr>
        <w:t>万元；我部门将按照《预算法》等有关规定，积极做好项目分配前期准备工作，在规定的时间内向财政部门提出资金分配意见，根据有关要求做好项目申报公开等相关工作。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color w:val="auto"/>
          <w:sz w:val="32"/>
          <w:szCs w:val="32"/>
        </w:rPr>
        <w:t>我</w:t>
      </w:r>
      <w:r>
        <w:rPr>
          <w:rFonts w:hint="eastAsia" w:ascii="仿宋_GB2312" w:hAnsi="宋体" w:eastAsia="仿宋_GB2312" w:cs="Courier New"/>
          <w:color w:val="auto"/>
          <w:sz w:val="32"/>
          <w:szCs w:val="32"/>
          <w:lang w:eastAsia="zh-CN"/>
        </w:rPr>
        <w:t>单位</w:t>
      </w:r>
      <w:r>
        <w:rPr>
          <w:rFonts w:hint="eastAsia" w:ascii="仿宋_GB2312" w:hAnsi="宋体" w:eastAsia="仿宋_GB2312" w:cs="Courier New"/>
          <w:color w:val="auto"/>
          <w:sz w:val="32"/>
          <w:szCs w:val="32"/>
        </w:rPr>
        <w:t>2022年没有专项转移支付项目</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六</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七</w:t>
      </w:r>
      <w:r>
        <w:rPr>
          <w:rFonts w:hint="eastAsia" w:ascii="仿宋_GB2312" w:hAnsi="宋体" w:eastAsia="仿宋_GB2312" w:cs="Courier New"/>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八</w:t>
      </w:r>
      <w:r>
        <w:rPr>
          <w:rFonts w:hint="eastAsia" w:ascii="仿宋_GB2312" w:hAnsi="宋体" w:eastAsia="仿宋_GB2312" w:cs="Courier New"/>
          <w:sz w:val="32"/>
          <w:szCs w:val="32"/>
        </w:rPr>
        <w:t>、“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r>
        <w:rPr>
          <w:rFonts w:hint="eastAsia" w:ascii="仿宋_GB2312" w:hAnsi="宋体" w:eastAsia="仿宋_GB2312" w:cs="Courier New"/>
          <w:sz w:val="32"/>
          <w:szCs w:val="32"/>
        </w:rPr>
        <w:t>第四部分</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附件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年度部门预算表</w:t>
      </w:r>
    </w:p>
    <w:p>
      <w:pPr>
        <w:adjustRightInd w:val="0"/>
        <w:snapToGrid w:val="0"/>
        <w:spacing w:line="360" w:lineRule="auto"/>
        <w:rPr>
          <w:rFonts w:ascii="仿宋_GB2312" w:hAnsi="仿宋_GB2312" w:eastAsia="仿宋_GB2312" w:cs="仿宋_GB2312"/>
          <w:sz w:val="32"/>
          <w:szCs w:val="32"/>
        </w:rPr>
      </w:pPr>
    </w:p>
    <w:p>
      <w:pPr>
        <w:numPr>
          <w:ilvl w:val="0"/>
          <w:numId w:val="0"/>
        </w:numPr>
        <w:adjustRightInd w:val="0"/>
        <w:snapToGrid w:val="0"/>
        <w:spacing w:line="360" w:lineRule="auto"/>
        <w:ind w:leftChars="0"/>
        <w:rPr>
          <w:rFonts w:ascii="仿宋_GB2312" w:hAnsi="仿宋_GB2312" w:eastAsia="仿宋_GB2312" w:cs="仿宋_GB2312"/>
          <w:color w:val="FF0000"/>
          <w:sz w:val="40"/>
          <w:szCs w:val="32"/>
        </w:rPr>
      </w:pPr>
      <w:r>
        <w:rPr>
          <w:rFonts w:hint="eastAsia" w:ascii="仿宋_GB2312" w:hAnsi="仿宋_GB2312" w:eastAsia="仿宋_GB2312" w:cs="仿宋_GB2312"/>
          <w:color w:val="auto"/>
          <w:sz w:val="32"/>
          <w:szCs w:val="32"/>
          <w:lang w:val="en-US" w:eastAsia="zh-CN"/>
        </w:rPr>
        <w:t xml:space="preserve">         东风乡人民政府2022年度预算公开表1-12表附后</w:t>
      </w:r>
    </w:p>
    <w:p>
      <w:pPr>
        <w:numPr>
          <w:ilvl w:val="0"/>
          <w:numId w:val="0"/>
        </w:numPr>
        <w:adjustRightInd w:val="0"/>
        <w:snapToGrid w:val="0"/>
        <w:spacing w:line="360" w:lineRule="auto"/>
        <w:ind w:leftChars="0"/>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80" w:bottom="1440" w:left="1080" w:header="851" w:footer="992" w:gutter="0"/>
          <w:cols w:space="425" w:num="1"/>
          <w:docGrid w:type="lines" w:linePitch="312" w:charSpace="0"/>
        </w:sectPr>
      </w:pPr>
      <w:r>
        <w:pict>
          <v:shape id="_x0000_i1025" o:spt="75" type="#_x0000_t75" style="height:555.75pt;width:462.75pt;" filled="f" stroked="f" coordsize="21600,21600">
            <v:path/>
            <v:fill on="f" focussize="0,0"/>
            <v:stroke on="f"/>
            <v:imagedata r:id="rId5"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r>
        <w:pict>
          <v:shape id="_x0000_i1026" o:spt="75" type="#_x0000_t75" style="height:73.85pt;width:697.5pt;" filled="f" stroked="f" coordsize="21600,21600">
            <v:path/>
            <v:fill on="f" focussize="0,0"/>
            <v:stroke on="f"/>
            <v:imagedata r:id="rId6"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pict>
          <v:shape id="_x0000_i1027" o:spt="75" type="#_x0000_t75" style="height:195.1pt;width:697.3pt;" filled="f" stroked="f" coordsize="21600,21600">
            <v:path/>
            <v:fill on="f" focussize="0,0"/>
            <v:stroke on="f"/>
            <v:imagedata r:id="rId7"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pict>
          <v:shape id="_x0000_i1028" o:spt="75" type="#_x0000_t75" style="height:568.65pt;width:697.35pt;" filled="f" stroked="f" coordsize="21600,21600">
            <v:path/>
            <v:fill on="f" focussize="0,0"/>
            <v:stroke on="f"/>
            <v:imagedata r:id="rId8"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r>
        <w:pict>
          <v:shape id="_x0000_i1029" o:spt="75" type="#_x0000_t75" style="height:208.15pt;width:697.3pt;" filled="f" stroked="f" coordsize="21600,21600">
            <v:path/>
            <v:fill on="f" focussize="0,0"/>
            <v:stroke on="f"/>
            <v:imagedata r:id="rId9"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r>
        <w:pict>
          <v:shape id="_x0000_i1030" o:spt="75" type="#_x0000_t75" style="height:555.55pt;width:697.4pt;" filled="f" stroked="f" coordsize="21600,21600">
            <v:path/>
            <v:fill on="f" focussize="0,0"/>
            <v:stroke on="f"/>
            <v:imagedata r:id="rId10" o:title=""/>
            <o:lock v:ext="edit" aspectratio="t"/>
            <w10:wrap type="none"/>
            <w10:anchorlock/>
          </v:shape>
        </w:pict>
      </w:r>
    </w:p>
    <w:p>
      <w:pPr>
        <w:adjustRightInd w:val="0"/>
        <w:snapToGrid w:val="0"/>
        <w:spacing w:line="360" w:lineRule="auto"/>
        <w:rPr>
          <w:rFonts w:ascii="仿宋_GB2312" w:hAnsi="仿宋_GB2312" w:eastAsia="仿宋_GB2312" w:cs="仿宋_GB2312"/>
          <w:sz w:val="32"/>
          <w:szCs w:val="32"/>
        </w:rPr>
      </w:pPr>
      <w:r>
        <w:pict>
          <v:shape id="_x0000_i1031" o:spt="75" type="#_x0000_t75" style="height:483.2pt;width:697.2pt;" filled="f" stroked="f" coordsize="21600,21600">
            <v:path/>
            <v:fill on="f" focussize="0,0"/>
            <v:stroke on="f"/>
            <v:imagedata r:id="rId11" o:title=""/>
            <o:lock v:ext="edit" aspectratio="t"/>
            <w10:wrap type="none"/>
            <w10:anchorlock/>
          </v:shape>
        </w:pict>
      </w:r>
    </w:p>
    <w:p>
      <w:pPr>
        <w:adjustRightInd w:val="0"/>
        <w:snapToGrid w:val="0"/>
        <w:spacing w:line="360" w:lineRule="auto"/>
      </w:pPr>
      <w:r>
        <w:pict>
          <v:shape id="_x0000_i1032" o:spt="75" type="#_x0000_t75" style="height:170.55pt;width:697.85pt;" filled="f" stroked="f" coordsize="21600,21600">
            <v:path/>
            <v:fill on="f" focussize="0,0"/>
            <v:stroke on="f"/>
            <v:imagedata r:id="rId12"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r>
        <w:pict>
          <v:shape id="_x0000_i1033" o:spt="75" type="#_x0000_t75" style="height:147.9pt;width:697.75pt;" filled="f" stroked="f" coordsize="21600,21600">
            <v:path/>
            <v:fill on="f" focussize="0,0"/>
            <v:stroke on="f"/>
            <v:imagedata r:id="rId13"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r>
        <w:pict>
          <v:shape id="_x0000_i1034" o:spt="75" type="#_x0000_t75" style="height:329pt;width:697.3pt;" filled="f" stroked="f" coordsize="21600,21600">
            <v:path/>
            <v:fill on="f" focussize="0,0"/>
            <v:stroke on="f"/>
            <v:imagedata r:id="rId14"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6"/>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48"/>
        <w:gridCol w:w="2197"/>
        <w:gridCol w:w="117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本级部门(单位)整体绩效目标表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 xml:space="preserve">（2022年度）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部门（单位）名称  </w:t>
            </w:r>
          </w:p>
        </w:tc>
        <w:tc>
          <w:tcPr>
            <w:tcW w:w="6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安阳市东风乡人民政府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8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党委政府深入贯彻学习十九届六中全会和十一届党代会精神，紧紧围绕“保工资运转、保民生、保重点项目”等促进经济发展的总体工作思路，以民生民本为重点，开展乡村振兴、老天工程、创文创卫战略，统筹各项事业发展，以安全维稳为重点，切实保障社会和谐稳定，加快推进基础设施建设，权利打造和谐美丽乡村建设，促进经济社会发展，以优异成绩迎接党的二十大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保障全乡镇在职及退休人员活动经费及全乡正常运转经费；</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保障全乡131人工资，机关单位正常办公运转；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保障村级经费运转；</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全乡振33个人自然村运转经费及村干部报酬、基层组织活动及公共服务正常运转；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保障其他公共服务支出；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按体制调整，保障乡村振兴、环保等重点项目；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壮大集体经济</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1、扶持原有的王潘流和郭潘流绿色种植，发展绿色大棚；2、置度、寺沟、吉党搬迁后，大力招商引资，壮大集体经济。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持续优化人居环境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1、呈现“一村一景”，处处是景，开展城乡环境综合治理和精神文明建设，建设秀美乡村。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预算情况  </w:t>
            </w: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部门预算总额（万元）</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1、资金来源：（1）政府预算资金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2、资金结构：（1）基本支出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（2）项目支出</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投入管理指标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工作目标管理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预算和财务管理  </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绩效管理  </w:t>
            </w:r>
          </w:p>
        </w:tc>
        <w:tc>
          <w:tcPr>
            <w:tcW w:w="21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绩效目标编制完成率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部门绩效评价完成率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产出指标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壮大集体经济</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建设绿色大棚、招商引资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保障其他公共服务支出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乡村振兴、蓝天工程、创文创卫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保障村级经费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33个自然村运转及村干部工资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目标完成时间</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2022年底</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可持续影响</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政府服务职能增强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招商项目</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≥5个</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农民增收</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≥1万/人</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村民满意度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r>
        <w:pict>
          <v:shape id="_x0000_i1035" o:spt="75" type="#_x0000_t75" style="height:507.65pt;width:697.75pt;" filled="f" stroked="f" coordsize="21600,21600">
            <v:path/>
            <v:fill on="f" focussize="0,0"/>
            <v:stroke on="f"/>
            <v:imagedata r:id="rId15" o:title=""/>
            <o:lock v:ext="edit" aspectratio="t"/>
            <w10:wrap type="none"/>
            <w10:anchorlock/>
          </v:shape>
        </w:pict>
      </w: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0NDZmMTJhMjU4MzNiZjc3NDFhOGJlMDljMWMwMzk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6C8B"/>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4BA6"/>
    <w:rsid w:val="001D7273"/>
    <w:rsid w:val="001E0093"/>
    <w:rsid w:val="001E0F8C"/>
    <w:rsid w:val="001E7927"/>
    <w:rsid w:val="001F7F9B"/>
    <w:rsid w:val="00200BD7"/>
    <w:rsid w:val="00202EA8"/>
    <w:rsid w:val="002030EF"/>
    <w:rsid w:val="002510C2"/>
    <w:rsid w:val="00265B28"/>
    <w:rsid w:val="0026795F"/>
    <w:rsid w:val="00273D47"/>
    <w:rsid w:val="002750D3"/>
    <w:rsid w:val="0029168C"/>
    <w:rsid w:val="002A620A"/>
    <w:rsid w:val="002B2025"/>
    <w:rsid w:val="002C2A80"/>
    <w:rsid w:val="002C5AAE"/>
    <w:rsid w:val="002E3BE4"/>
    <w:rsid w:val="002E4313"/>
    <w:rsid w:val="002F22D2"/>
    <w:rsid w:val="002F3BB6"/>
    <w:rsid w:val="003352BA"/>
    <w:rsid w:val="00336785"/>
    <w:rsid w:val="00350476"/>
    <w:rsid w:val="0035195B"/>
    <w:rsid w:val="0035776D"/>
    <w:rsid w:val="003843F7"/>
    <w:rsid w:val="00390DEF"/>
    <w:rsid w:val="00392E25"/>
    <w:rsid w:val="003A0434"/>
    <w:rsid w:val="003A2DF5"/>
    <w:rsid w:val="003A6F18"/>
    <w:rsid w:val="003C5F21"/>
    <w:rsid w:val="003D744D"/>
    <w:rsid w:val="003E56DE"/>
    <w:rsid w:val="00401345"/>
    <w:rsid w:val="00404663"/>
    <w:rsid w:val="00420855"/>
    <w:rsid w:val="00432539"/>
    <w:rsid w:val="00451611"/>
    <w:rsid w:val="0047756A"/>
    <w:rsid w:val="00494F22"/>
    <w:rsid w:val="00495611"/>
    <w:rsid w:val="00495CEB"/>
    <w:rsid w:val="00496B7C"/>
    <w:rsid w:val="004974DC"/>
    <w:rsid w:val="004A35D2"/>
    <w:rsid w:val="004A4265"/>
    <w:rsid w:val="004A7AF2"/>
    <w:rsid w:val="004B1819"/>
    <w:rsid w:val="004C001F"/>
    <w:rsid w:val="004C13EB"/>
    <w:rsid w:val="004D5B4E"/>
    <w:rsid w:val="004F068A"/>
    <w:rsid w:val="004F1BCB"/>
    <w:rsid w:val="004F3DF3"/>
    <w:rsid w:val="00511219"/>
    <w:rsid w:val="00521104"/>
    <w:rsid w:val="0052193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4056E"/>
    <w:rsid w:val="00647DE6"/>
    <w:rsid w:val="00662E14"/>
    <w:rsid w:val="00666AC4"/>
    <w:rsid w:val="0067124D"/>
    <w:rsid w:val="00672799"/>
    <w:rsid w:val="00680781"/>
    <w:rsid w:val="006B1909"/>
    <w:rsid w:val="006B49B5"/>
    <w:rsid w:val="006B7E0B"/>
    <w:rsid w:val="006C3CD3"/>
    <w:rsid w:val="006C7564"/>
    <w:rsid w:val="006D6D49"/>
    <w:rsid w:val="006E4BF1"/>
    <w:rsid w:val="006F5265"/>
    <w:rsid w:val="006F5EEE"/>
    <w:rsid w:val="00700744"/>
    <w:rsid w:val="0071044E"/>
    <w:rsid w:val="00730F26"/>
    <w:rsid w:val="0073591F"/>
    <w:rsid w:val="007541DA"/>
    <w:rsid w:val="007656BD"/>
    <w:rsid w:val="007740BF"/>
    <w:rsid w:val="007829BC"/>
    <w:rsid w:val="0079641C"/>
    <w:rsid w:val="007B5898"/>
    <w:rsid w:val="007C1DF1"/>
    <w:rsid w:val="007C2AA9"/>
    <w:rsid w:val="007C788C"/>
    <w:rsid w:val="007E6790"/>
    <w:rsid w:val="007F7E98"/>
    <w:rsid w:val="00804322"/>
    <w:rsid w:val="008043D9"/>
    <w:rsid w:val="008122D8"/>
    <w:rsid w:val="00812F5C"/>
    <w:rsid w:val="00820FF9"/>
    <w:rsid w:val="00830E30"/>
    <w:rsid w:val="00833702"/>
    <w:rsid w:val="00833DBE"/>
    <w:rsid w:val="00850CE1"/>
    <w:rsid w:val="00852299"/>
    <w:rsid w:val="00860A29"/>
    <w:rsid w:val="00874331"/>
    <w:rsid w:val="00891536"/>
    <w:rsid w:val="0089458A"/>
    <w:rsid w:val="00894D24"/>
    <w:rsid w:val="00897148"/>
    <w:rsid w:val="008B72D5"/>
    <w:rsid w:val="008C14BF"/>
    <w:rsid w:val="008C7AD8"/>
    <w:rsid w:val="008D01B3"/>
    <w:rsid w:val="008D6560"/>
    <w:rsid w:val="008E07B1"/>
    <w:rsid w:val="008E4459"/>
    <w:rsid w:val="00923B00"/>
    <w:rsid w:val="009242BF"/>
    <w:rsid w:val="00926E26"/>
    <w:rsid w:val="00943D7C"/>
    <w:rsid w:val="00944A2D"/>
    <w:rsid w:val="00951DEF"/>
    <w:rsid w:val="00952BFE"/>
    <w:rsid w:val="009821A1"/>
    <w:rsid w:val="00987FE0"/>
    <w:rsid w:val="009A520C"/>
    <w:rsid w:val="009B7A51"/>
    <w:rsid w:val="00A216E6"/>
    <w:rsid w:val="00A330EC"/>
    <w:rsid w:val="00A34341"/>
    <w:rsid w:val="00A35A79"/>
    <w:rsid w:val="00A46E26"/>
    <w:rsid w:val="00A503E7"/>
    <w:rsid w:val="00A52337"/>
    <w:rsid w:val="00A52801"/>
    <w:rsid w:val="00A6267D"/>
    <w:rsid w:val="00A727EB"/>
    <w:rsid w:val="00A87DCF"/>
    <w:rsid w:val="00A90D9E"/>
    <w:rsid w:val="00A96CAF"/>
    <w:rsid w:val="00AC3C61"/>
    <w:rsid w:val="00AE549A"/>
    <w:rsid w:val="00B02CB9"/>
    <w:rsid w:val="00B10D6F"/>
    <w:rsid w:val="00B20C5F"/>
    <w:rsid w:val="00B21967"/>
    <w:rsid w:val="00B61D47"/>
    <w:rsid w:val="00B95A06"/>
    <w:rsid w:val="00BA362F"/>
    <w:rsid w:val="00BA4FA7"/>
    <w:rsid w:val="00BA58CE"/>
    <w:rsid w:val="00BA7185"/>
    <w:rsid w:val="00BB6662"/>
    <w:rsid w:val="00BC333E"/>
    <w:rsid w:val="00BE56FB"/>
    <w:rsid w:val="00BE716F"/>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FBB"/>
    <w:rsid w:val="00DC798D"/>
    <w:rsid w:val="00DF0DA6"/>
    <w:rsid w:val="00DF3140"/>
    <w:rsid w:val="00E133A9"/>
    <w:rsid w:val="00E20A7D"/>
    <w:rsid w:val="00E20E6F"/>
    <w:rsid w:val="00E21F3E"/>
    <w:rsid w:val="00E31EE0"/>
    <w:rsid w:val="00E33EBB"/>
    <w:rsid w:val="00E36AE5"/>
    <w:rsid w:val="00E3795E"/>
    <w:rsid w:val="00E37B7D"/>
    <w:rsid w:val="00E57174"/>
    <w:rsid w:val="00E57C5A"/>
    <w:rsid w:val="00E607D3"/>
    <w:rsid w:val="00E72785"/>
    <w:rsid w:val="00E776E0"/>
    <w:rsid w:val="00E913EB"/>
    <w:rsid w:val="00EC2B0B"/>
    <w:rsid w:val="00ED5B3D"/>
    <w:rsid w:val="00EE543C"/>
    <w:rsid w:val="00EF42A2"/>
    <w:rsid w:val="00F0089D"/>
    <w:rsid w:val="00F2113A"/>
    <w:rsid w:val="00F2137C"/>
    <w:rsid w:val="00F4533D"/>
    <w:rsid w:val="00F51FB3"/>
    <w:rsid w:val="00F754BD"/>
    <w:rsid w:val="00F77A8C"/>
    <w:rsid w:val="00F950F8"/>
    <w:rsid w:val="00FA0A5A"/>
    <w:rsid w:val="00FB158E"/>
    <w:rsid w:val="00FD0777"/>
    <w:rsid w:val="00FD6C1F"/>
    <w:rsid w:val="00FD729D"/>
    <w:rsid w:val="02C646E1"/>
    <w:rsid w:val="05532A0D"/>
    <w:rsid w:val="069A0BF9"/>
    <w:rsid w:val="090D40C1"/>
    <w:rsid w:val="0C5164CB"/>
    <w:rsid w:val="0CFA5D80"/>
    <w:rsid w:val="14B962E5"/>
    <w:rsid w:val="189C68A9"/>
    <w:rsid w:val="18D94773"/>
    <w:rsid w:val="1E107DD1"/>
    <w:rsid w:val="24C26FA6"/>
    <w:rsid w:val="2A23570F"/>
    <w:rsid w:val="2C35005E"/>
    <w:rsid w:val="2E5859B2"/>
    <w:rsid w:val="2FC73D1B"/>
    <w:rsid w:val="3171432E"/>
    <w:rsid w:val="370F2AFF"/>
    <w:rsid w:val="3A9D46AF"/>
    <w:rsid w:val="3B762441"/>
    <w:rsid w:val="3D592BF9"/>
    <w:rsid w:val="3EBF7D18"/>
    <w:rsid w:val="3ED16862"/>
    <w:rsid w:val="43A674EE"/>
    <w:rsid w:val="457A0A19"/>
    <w:rsid w:val="46252A2C"/>
    <w:rsid w:val="4ABB6956"/>
    <w:rsid w:val="4B911B6E"/>
    <w:rsid w:val="4C1B4ECE"/>
    <w:rsid w:val="52ED5834"/>
    <w:rsid w:val="54C536E4"/>
    <w:rsid w:val="55ED6C72"/>
    <w:rsid w:val="59166A3F"/>
    <w:rsid w:val="5B131D9A"/>
    <w:rsid w:val="63377F9B"/>
    <w:rsid w:val="676C79EC"/>
    <w:rsid w:val="6F341AC6"/>
    <w:rsid w:val="6F3F394C"/>
    <w:rsid w:val="79111DCE"/>
    <w:rsid w:val="7EB168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semiHidden/>
    <w:qFormat/>
    <w:locked/>
    <w:uiPriority w:val="99"/>
    <w:rPr>
      <w:rFonts w:ascii="Calibri" w:hAnsi="Calibri" w:eastAsia="宋体" w:cs="Times New Roman"/>
      <w:sz w:val="18"/>
      <w:szCs w:val="18"/>
    </w:rPr>
  </w:style>
  <w:style w:type="character" w:customStyle="1" w:styleId="9">
    <w:name w:val="页脚 Char"/>
    <w:link w:val="4"/>
    <w:qFormat/>
    <w:locked/>
    <w:uiPriority w:val="99"/>
    <w:rPr>
      <w:rFonts w:ascii="Calibri" w:hAnsi="Calibri" w:eastAsia="宋体" w:cs="Times New Roman"/>
      <w:sz w:val="18"/>
      <w:szCs w:val="18"/>
    </w:rPr>
  </w:style>
  <w:style w:type="character" w:customStyle="1" w:styleId="10">
    <w:name w:val="页眉 Char"/>
    <w:link w:val="5"/>
    <w:qFormat/>
    <w:locked/>
    <w:uiPriority w:val="99"/>
    <w:rPr>
      <w:rFonts w:ascii="Calibri" w:hAnsi="Calibri" w:eastAsia="宋体" w:cs="Times New Roman"/>
      <w:sz w:val="18"/>
      <w:szCs w:val="18"/>
    </w:rPr>
  </w:style>
  <w:style w:type="character" w:customStyle="1" w:styleId="11">
    <w:name w:val="纯文本 Char"/>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Pages>
  <Words>5598</Words>
  <Characters>5976</Characters>
  <Lines>30</Lines>
  <Paragraphs>8</Paragraphs>
  <TotalTime>18</TotalTime>
  <ScaleCrop>false</ScaleCrop>
  <LinksUpToDate>false</LinksUpToDate>
  <CharactersWithSpaces>6211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orange蒲</cp:lastModifiedBy>
  <cp:lastPrinted>2021-04-16T07:34:00Z</cp:lastPrinted>
  <dcterms:modified xsi:type="dcterms:W3CDTF">2022-05-27T02:36:04Z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97D0D5BCA2FF4A6CBD5543D35C04A45B</vt:lpwstr>
  </property>
</Properties>
</file>