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  <w:highlight w:val="none"/>
        </w:rPr>
        <w:t>龙安区</w:t>
      </w:r>
      <w:r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  <w:highlight w:val="none"/>
          <w:lang w:val="en-US" w:eastAsia="zh-CN"/>
        </w:rPr>
        <w:t>2021</w:t>
      </w:r>
      <w:r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  <w:highlight w:val="none"/>
        </w:rPr>
        <w:t>年财政决算编制说明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>一、总体收支情况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</w:rPr>
        <w:t>一般公共预算决算总体收支情况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2021年一般公共预算收入年初预算为100000万元，实际完成100168万元，为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年初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预算的100.2%，增长18.8%。其中税收收入完成74572万元，税收收入占一般公共预算收入的比重为74.4%。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按照市对区现行财政体制和年终决算，2021年全区一般公共预算收入100168万元，加上级补助收入68158万元、一般债券收入7000万元（其中新增一般债券收入1000万元、再融资一般债券收入6000万元）、调入资金30433万元（其中调入预算稳定调节基金1507万元、从政府性基金预算调入28926万元），收入总计205759万元。减上级上解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39825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万元、一般债务还本支出6175万元、补充预算稳定调节基金3054万元，2021年全区一般公共预算财力为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156705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万元。2021年度，全区一般公共预算支出实际完成128944万元，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年终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资金2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7761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</w:rPr>
        <w:t>一般公共预算决算转移支付执行情况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2021年，全区共收到一般公共预算上级补助收入68158万元，其中返还性收入6372万元、一般性转移支付收入49651万元、专项转移支付收入12135万元。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返还性收入情况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“返还性收入”决算为6372万元，其中“增值税税收返还”2155万元、“增值税五五返还”3365万元、“所得税基数返还”447万元、“成品油价格和税费改革税收返还”405万元。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一般性转移支付收入情况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“一般性转移支付收入”决算为49651万元，其中 “均衡性转移支付收入”10506万元、“结算补助收入”7618万元、“县级基本财力保障机制奖补资金”1816万元、“重点生态功能区转移支付收入”1300万元、“固定数额补助”3750万元、“贫困地区转移支付收入”491万元、“公共安全共同财政事权转移支付收入”122万元、“教育共同财政事权转移支付收入”4811万元、“文化旅游体育与传媒共同财政事权转移支付收入”574万元、“社会保障和就业共同财政事权转移支付收入”8672万元、“卫生健康共同财政事权转移支付收入”2769万元、“农林水共同财政事权转移支付收入”4572万元、“交通运输共同财政事权转移支付收入”1258万元、“住房保障共同财政事权转移支付收入”645万元、“灾害防治及应急管理共同财政事权转移支付收入”747万元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专项转移支付收入情况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专项转移支付收入”决算为12135万元，其中“一般公共服务”79万元、“国防”12万元、“公共安全”9万元、“教育”516万元、“科学技术”805万元、“文化体育与传媒”194万元、“社会保障和就业”660万元、“医疗卫生与计划生育”521万元、“节能环保”3257万元、“城乡社区事务”54万元、“农林水”1688万元、“交通运输”1046万元、“资源勘探信息等”51万元、“商业服务业等”51万元、“住房保障”2918万元、“灾害防治及应急管理共同财政事权转移支付收入”254万元、“其他”20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</w:rPr>
        <w:t>政府性基金决算收支情况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2021年政府性基金决算收入68888万元，加上级补助基金收入12368万元、新增专项债券收入213700万元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再融资专项债券收入7500万元、当年全区基金总收入302456万元。上解上级支出13726万元、调出资金28926万元，2021年全区政府性基金预算财力为252304万元，当年全区政府性基金预算支出实际完成227372万元，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年终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资金24932万元。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2021年，全区共收到政府性基金上级补助收入12368万元，其中专项转移支付收入12368万元。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“专项转移支付收入”决算为12368万元，其中主要补助收入为：“文化体育与传媒”6万元、“社会保障和就业”2135万元、“城乡社区”9907万元、“农林水”67万元、“其他”253万元。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</w:rPr>
        <w:t>社保基金决算收支情况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2021年社会保险基金收入年初预算为7751万元，实际完成8107万元，为年初预算的104.6%。社会保险基金支出年初预算为5298万元，实际完成550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万元，为年初预算的103.8%。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2021年社保基金当年收支结余260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万元，社保基金支出专户累计结余183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</w:rPr>
        <w:t>国有资本经营决算收支情况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2021年国有资本经营预算上级补助收入65万元，当年国有资本经营预算总收入65万元，当年全区国有资本经营预算实际支出0万元，结转下年65万元。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>二、举借债务情况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2021年底，上级财政部门下达我区政府债务限额累计330728万元。其中：一般债务限额48328万元，专项债务限额282400万元。2021年新增政府债务限额214700万元，其中：一般债务限额1000万元，专项债务限额282400万元。全区累计债务余额325319万元，其中：一般债务余额45071万元，专项债务余额280248万元。全区债务总额和分项余额均低于上级财政部门核定的债务限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>三、“三公”经费执行情况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2021年“三公”经费总量年初预算为689万元，同期比增长4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%；年终部门决算“三公”经费汇总数为535万元，为预算的77.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%，同期比增长8.3%。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三公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经费具体执行情况是：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“因公出国（境）费用”年初预算和年终决算均为0万元，均与上年持平。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“公务接待费”年初预算138万元，同期比下降4.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%；年终部门决算汇总数为56万元，为预算的40.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%，同期比下降32.5%。主要原因是预算单位严格执行“中央”八项规定，大力压缩单位公务接待，力戒奢侈浪费之风。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“公务用车运行维护费”年初预算361万元，同期比增长10.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%；年终部门决算汇总数为273万元，为预算的75.6%，同期比下降18.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%。全区公务用车运行维护费基本上处于合理范畴，下步大力压减的空间不大。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公务用车购置”年初预算190万元；年终部门决算汇总数为205万元，同期比增长166.2%。增加的车辆购置费是单位车辆按政策规定报废后，经过政府采购重新购置的车辆费用，其中纪委1辆，机关事务中心5辆，城市管理行政执法局5辆，应急管理局1辆，东风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1辆，善应镇政府2辆。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四、预算绩效工作开展情况说明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1、积极开展绩效评价工作。围绕事前绩效评估、目标管理、监控管理、评价管理、结果应用和公开等组织开展好各项工作。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2、开展重点项目绩效评价工作，加强评价结果应用。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3、强化绩效全过程管理。通过绩效自评和外部评价相结合的方式，衡量预算资金使用效果。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、重大政策和重点项目绩效执行结果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（一)工作开展情况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区财政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局通过委托第三方评价机构，对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2021年度区民政局敬老津贴、区环卫处生活垃圾分类区级配套资金、区住建局洹泉涌流人才购房补贴、区农业农村局农田建设项目补助资金、龙泉镇政府环境监测点劳务费用共5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个项目开展重点绩效评价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区发展和改革委员会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1个部门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整体绩效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，对2022年度区水利局洪河龙安区整治工程1个项目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开展绩效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监控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评价。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目前，评价工作已全部结束，第三方机构出具了绩效评价报告。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(二)绩效评价结果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2021年民政局敬老津贴项目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绩效评价得分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90.2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分，绩效评级为“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优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2、202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区环卫处生活垃圾分类区级配套资金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项目绩效评价得分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.5分，绩效评级为“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3、202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区住建局洹泉涌流人才购房补贴项目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绩效评价得分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分，绩效评级为“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优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4、202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农业农村局农田建设项目补助资金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项目绩效评价得分8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分，绩效评级为“良”。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5、202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龙泉镇政府环境监测点劳务费用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项目绩效评价得分8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3.5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分，绩效等级为“良”。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6、202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发改委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部门整体绩效评价得分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92.91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分，绩效评级为“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优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”。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7、202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水利局洪河龙安区整治工程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项目绩效监控评级为“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（三）存在问题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项目管理制度不完善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，有待进一步健全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二是制度执行不到位，执行力有待提升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三绩效管理意识不强，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绩效目标设置科学性不足，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规范性管理需提高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预算编制不合理、不完整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（四）相关建议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一是根据第三方评价报告，向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有关预算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部门反馈相关问题，进一步压实部门责任，督促部门进一步改进管理。二是相关专项资金预算编制与本次评价结果相结合，加强评价结果应用。三是积极推进预算绩效管理工作，提高资金使用效益，逐步建立全过程预算绩效管理机制。</w:t>
      </w:r>
    </w:p>
    <w:p>
      <w:pPr>
        <w:pStyle w:val="4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587" w:bottom="1984" w:left="170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- 4 -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NzMyMzFiMDQ1NGViODBmYWU4MmY2NTI0N2FhMzMifQ=="/>
  </w:docVars>
  <w:rsids>
    <w:rsidRoot w:val="00000000"/>
    <w:rsid w:val="6432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  <w:rPr>
      <w:rFonts w:ascii="宋体" w:hAnsi="宋体" w:eastAsia="宋体"/>
      <w:sz w:val="28"/>
    </w:rPr>
  </w:style>
  <w:style w:type="paragraph" w:customStyle="1" w:styleId="10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2022-09-20T01:18:39Z</dcterms:created>
  <dc:creator>Administrator</dc:creator>
  <cp:lastModifiedBy>Administrator</cp:lastModifiedBy>
  <dcterms:modified xsi:type="dcterms:W3CDTF">2022-09-20T01:20:39Z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BDBDB700B6384E0F94C4AAA08D1495ED</vt:lpwstr>
  </property>
</Properties>
</file>