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adjustRightInd w:val="0"/>
        <w:snapToGrid w:val="0"/>
        <w:spacing w:line="360" w:lineRule="auto"/>
        <w:jc w:val="center"/>
        <w:rPr>
          <w:rFonts w:ascii="宋体"/>
          <w:b/>
          <w:sz w:val="52"/>
          <w:szCs w:val="52"/>
        </w:rPr>
      </w:pPr>
      <w:r>
        <w:rPr>
          <w:rFonts w:hint="eastAsia" w:ascii="宋体" w:hAnsi="宋体"/>
          <w:b/>
          <w:sz w:val="52"/>
          <w:szCs w:val="52"/>
        </w:rPr>
        <w:t>安阳市龙安区龙泉镇人民政府</w:t>
      </w:r>
    </w:p>
    <w:p>
      <w:pPr>
        <w:adjustRightInd w:val="0"/>
        <w:snapToGrid w:val="0"/>
        <w:spacing w:line="360" w:lineRule="auto"/>
        <w:jc w:val="center"/>
        <w:rPr>
          <w:rFonts w:ascii="宋体"/>
          <w:b/>
          <w:sz w:val="52"/>
          <w:szCs w:val="52"/>
        </w:rPr>
      </w:pPr>
      <w:r>
        <w:rPr>
          <w:rFonts w:ascii="宋体" w:hAnsi="宋体"/>
          <w:b/>
          <w:sz w:val="52"/>
          <w:szCs w:val="52"/>
        </w:rPr>
        <w:t>202</w:t>
      </w:r>
      <w:r>
        <w:rPr>
          <w:rFonts w:hint="eastAsia" w:ascii="宋体" w:hAnsi="宋体"/>
          <w:b/>
          <w:sz w:val="52"/>
          <w:szCs w:val="52"/>
        </w:rPr>
        <w:t>1年度决算公开说明</w:t>
      </w: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bookmarkStart w:id="1" w:name="_GoBack"/>
      <w:bookmarkEnd w:id="1"/>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32"/>
          <w:szCs w:val="32"/>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b/>
          <w:color w:val="000000"/>
          <w:sz w:val="32"/>
          <w:szCs w:val="32"/>
          <w:lang w:eastAsia="zh-CN"/>
        </w:rPr>
        <w:t>二〇二二年三月</w:t>
      </w: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rPr>
          <w:rFonts w:hint="eastAsia" w:ascii="黑体" w:hAnsi="黑体" w:eastAsia="黑体"/>
          <w:b/>
          <w:color w:val="000000"/>
          <w:sz w:val="44"/>
          <w:szCs w:val="44"/>
        </w:rPr>
      </w:pPr>
    </w:p>
    <w:p>
      <w:pPr>
        <w:pStyle w:val="2"/>
        <w:rPr>
          <w:rFonts w:hint="eastAsia"/>
        </w:rPr>
      </w:pPr>
    </w:p>
    <w:p>
      <w:pPr>
        <w:pStyle w:val="2"/>
        <w:rPr>
          <w:rFonts w:hint="eastAsia"/>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r>
        <w:rPr>
          <w:rFonts w:hint="eastAsia" w:ascii="黑体" w:hAnsi="黑体" w:eastAsia="黑体"/>
          <w:b/>
          <w:color w:val="000000"/>
          <w:sz w:val="44"/>
          <w:szCs w:val="44"/>
        </w:rPr>
        <w:t>安阳市龙安区龙泉镇人民政府</w:t>
      </w:r>
    </w:p>
    <w:p>
      <w:pPr>
        <w:jc w:val="center"/>
        <w:rPr>
          <w:rFonts w:ascii="黑体" w:hAnsi="黑体" w:eastAsia="黑体"/>
          <w:b/>
          <w:color w:val="000000"/>
          <w:sz w:val="44"/>
          <w:szCs w:val="44"/>
        </w:rPr>
      </w:pPr>
      <w:r>
        <w:rPr>
          <w:rFonts w:hint="eastAsia" w:ascii="黑体" w:hAnsi="黑体" w:eastAsia="黑体"/>
          <w:b/>
          <w:color w:val="000000"/>
          <w:sz w:val="44"/>
          <w:szCs w:val="44"/>
        </w:rPr>
        <w:t>2021年财政决算编制说明</w:t>
      </w:r>
    </w:p>
    <w:p>
      <w:pPr>
        <w:rPr>
          <w:rFonts w:ascii="仿宋" w:hAnsi="仿宋" w:eastAsia="仿宋"/>
          <w:color w:val="000000"/>
          <w:sz w:val="32"/>
          <w:szCs w:val="32"/>
        </w:rPr>
      </w:pPr>
    </w:p>
    <w:p>
      <w:pPr>
        <w:snapToGrid w:val="0"/>
        <w:spacing w:line="520" w:lineRule="exact"/>
        <w:ind w:firstLine="640" w:firstLineChars="200"/>
        <w:rPr>
          <w:rFonts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．主要职能：龙泉镇党委、政府通过组织群众、宣传群众、教育群众、服务群众，切实贯彻落实党和国家在农村的各项方针政策和法律法规，围绕农业、农村、农民搞好服务。</w:t>
      </w:r>
      <w:r>
        <w:rPr>
          <w:rFonts w:ascii="仿宋" w:hAnsi="仿宋" w:eastAsia="仿宋"/>
          <w:color w:val="000000"/>
          <w:sz w:val="32"/>
          <w:szCs w:val="32"/>
        </w:rPr>
        <w:t xml:space="preserve"> </w:t>
      </w:r>
    </w:p>
    <w:p>
      <w:pPr>
        <w:snapToGrid w:val="0"/>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．机构情况：安阳市龙安区龙泉镇人民政府内设机构包括：党政便民服务中心、宣传文化服务中心、综合行执执法中队、退役军人服务站、综合治理中心。</w:t>
      </w:r>
    </w:p>
    <w:p>
      <w:pPr>
        <w:snapToGri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．人员情况：编制人数共计87人,2021年底在职</w:t>
      </w:r>
      <w:r>
        <w:rPr>
          <w:rFonts w:ascii="仿宋" w:hAnsi="仿宋" w:eastAsia="仿宋"/>
          <w:color w:val="000000"/>
          <w:sz w:val="32"/>
          <w:szCs w:val="32"/>
        </w:rPr>
        <w:t>79</w:t>
      </w:r>
      <w:r>
        <w:rPr>
          <w:rFonts w:hint="eastAsia" w:ascii="仿宋" w:hAnsi="仿宋" w:eastAsia="仿宋"/>
          <w:color w:val="000000"/>
          <w:sz w:val="32"/>
          <w:szCs w:val="32"/>
        </w:rPr>
        <w:t>人，退休</w:t>
      </w:r>
      <w:r>
        <w:rPr>
          <w:rFonts w:ascii="仿宋" w:hAnsi="仿宋" w:eastAsia="仿宋"/>
          <w:color w:val="000000"/>
          <w:sz w:val="32"/>
          <w:szCs w:val="32"/>
        </w:rPr>
        <w:t>30</w:t>
      </w:r>
      <w:r>
        <w:rPr>
          <w:rFonts w:hint="eastAsia" w:ascii="仿宋" w:hAnsi="仿宋" w:eastAsia="仿宋"/>
          <w:color w:val="000000"/>
          <w:sz w:val="32"/>
          <w:szCs w:val="32"/>
        </w:rPr>
        <w:t>人。</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单位本年开展工作顺利完成。</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二、总体收支情况</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1、一般公共预算决算总体收支情况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2021年，全镇共完成税收收入4886万元。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以</w:t>
      </w:r>
      <w:r>
        <w:rPr>
          <w:rFonts w:hint="eastAsia" w:ascii="仿宋" w:hAnsi="仿宋" w:eastAsia="仿宋"/>
          <w:color w:val="333333"/>
          <w:sz w:val="32"/>
          <w:szCs w:val="32"/>
          <w:shd w:val="clear" w:color="auto" w:fill="FFFFFF"/>
        </w:rPr>
        <w:t>现行财政体制和最终年终决算单核算</w:t>
      </w:r>
      <w:r>
        <w:rPr>
          <w:rFonts w:hint="eastAsia" w:ascii="仿宋" w:hAnsi="仿宋" w:eastAsia="仿宋"/>
          <w:color w:val="000000"/>
          <w:sz w:val="32"/>
          <w:szCs w:val="32"/>
        </w:rPr>
        <w:t>，2021年一般公共预算收入4886万元，上级补助收入9386万元，上解上级支出4844万元， 2021年全镇实际可用一般公共预算财力为9428万元，2021年全镇实现一般公共预算支出9428万元，收支平衡。</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2、政府性基金决算收支情况</w:t>
      </w:r>
    </w:p>
    <w:p>
      <w:pPr>
        <w:ind w:firstLine="640" w:firstLineChars="200"/>
        <w:rPr>
          <w:rFonts w:hint="eastAsia" w:ascii="仿宋" w:hAnsi="仿宋" w:eastAsia="仿宋"/>
          <w:b/>
          <w:color w:val="000000"/>
          <w:sz w:val="32"/>
          <w:szCs w:val="32"/>
        </w:rPr>
      </w:pPr>
      <w:r>
        <w:rPr>
          <w:rFonts w:hint="eastAsia" w:ascii="仿宋" w:hAnsi="仿宋" w:eastAsia="仿宋"/>
          <w:color w:val="333333"/>
          <w:sz w:val="32"/>
          <w:szCs w:val="32"/>
          <w:shd w:val="clear" w:color="auto" w:fill="FFFFFF"/>
        </w:rPr>
        <w:t>2021年年初政府性基金预算收入预算为0万元，实际完成42万元。</w:t>
      </w:r>
      <w:r>
        <w:rPr>
          <w:rFonts w:hint="eastAsia" w:ascii="仿宋" w:hAnsi="仿宋" w:eastAsia="仿宋"/>
          <w:color w:val="000000"/>
          <w:sz w:val="32"/>
          <w:szCs w:val="32"/>
        </w:rPr>
        <w:t>2021</w:t>
      </w:r>
      <w:r>
        <w:rPr>
          <w:rFonts w:hint="eastAsia" w:ascii="仿宋" w:hAnsi="仿宋" w:eastAsia="仿宋"/>
          <w:color w:val="333333"/>
          <w:sz w:val="32"/>
          <w:szCs w:val="32"/>
          <w:shd w:val="clear" w:color="auto" w:fill="FFFFFF"/>
        </w:rPr>
        <w:t>按照现行财政体制和最终年终决算单核算，2021年全镇共完成政府性基金收入42万元，政府性基金支出实际完成42万元，收支平衡。</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2021年社会保险基金收支决算为零。</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3、国有资本经营决算收支情况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2021年，全镇国有资本经营收支决算为零。</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4、2021年全镇实际可用财力支出情况</w:t>
      </w:r>
    </w:p>
    <w:p>
      <w:pPr>
        <w:snapToGrid w:val="0"/>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收入支出决算总体执行情况。</w:t>
      </w:r>
    </w:p>
    <w:p>
      <w:pPr>
        <w:snapToGrid w:val="0"/>
        <w:spacing w:line="600" w:lineRule="exact"/>
        <w:ind w:firstLine="640" w:firstLineChars="200"/>
        <w:rPr>
          <w:rFonts w:hint="eastAsia" w:ascii="仿宋" w:hAnsi="仿宋" w:eastAsia="仿宋" w:cs="仿宋_GB2312"/>
          <w:sz w:val="32"/>
          <w:szCs w:val="32"/>
        </w:rPr>
      </w:pPr>
      <w:r>
        <w:rPr>
          <w:rFonts w:ascii="仿宋" w:hAnsi="仿宋" w:eastAsia="仿宋"/>
          <w:color w:val="000000"/>
          <w:sz w:val="32"/>
          <w:szCs w:val="32"/>
        </w:rPr>
        <w:t>2021</w:t>
      </w:r>
      <w:r>
        <w:rPr>
          <w:rFonts w:hint="eastAsia" w:ascii="仿宋" w:hAnsi="仿宋" w:eastAsia="仿宋"/>
          <w:color w:val="000000"/>
          <w:sz w:val="32"/>
          <w:szCs w:val="32"/>
        </w:rPr>
        <w:t>年度收入</w:t>
      </w:r>
      <w:r>
        <w:rPr>
          <w:rFonts w:ascii="仿宋" w:hAnsi="仿宋" w:eastAsia="仿宋"/>
          <w:color w:val="000000"/>
          <w:sz w:val="32"/>
          <w:szCs w:val="32"/>
        </w:rPr>
        <w:t>9470</w:t>
      </w:r>
      <w:r>
        <w:rPr>
          <w:rFonts w:hint="eastAsia" w:ascii="仿宋" w:hAnsi="仿宋" w:eastAsia="仿宋"/>
          <w:color w:val="000000"/>
          <w:sz w:val="32"/>
          <w:szCs w:val="32"/>
        </w:rPr>
        <w:t>万元。与上</w:t>
      </w:r>
      <w:r>
        <w:rPr>
          <w:rFonts w:hint="eastAsia" w:ascii="仿宋" w:hAnsi="仿宋" w:eastAsia="仿宋" w:cs="仿宋_GB2312"/>
          <w:sz w:val="32"/>
          <w:szCs w:val="32"/>
        </w:rPr>
        <w:t>年度2543.8万元相比，增加6926.2万元。</w:t>
      </w:r>
      <w:r>
        <w:rPr>
          <w:rFonts w:ascii="仿宋" w:hAnsi="仿宋" w:eastAsia="仿宋" w:cs="仿宋_GB2312"/>
          <w:sz w:val="32"/>
          <w:szCs w:val="32"/>
        </w:rPr>
        <w:t>2021</w:t>
      </w:r>
      <w:r>
        <w:rPr>
          <w:rFonts w:hint="eastAsia" w:ascii="仿宋" w:hAnsi="仿宋" w:eastAsia="仿宋" w:cs="仿宋_GB2312"/>
          <w:sz w:val="32"/>
          <w:szCs w:val="32"/>
        </w:rPr>
        <w:t>年支出</w:t>
      </w:r>
      <w:r>
        <w:rPr>
          <w:rFonts w:ascii="仿宋" w:hAnsi="仿宋" w:eastAsia="仿宋" w:cs="仿宋_GB2312"/>
          <w:sz w:val="32"/>
          <w:szCs w:val="32"/>
        </w:rPr>
        <w:t>9470</w:t>
      </w:r>
      <w:r>
        <w:rPr>
          <w:rFonts w:hint="eastAsia" w:ascii="仿宋" w:hAnsi="仿宋" w:eastAsia="仿宋" w:cs="仿宋_GB2312"/>
          <w:sz w:val="32"/>
          <w:szCs w:val="32"/>
        </w:rPr>
        <w:t>万元，与上年度2543.8万元相比，增加6926.2万元，主要原因是政府加大城乡社区方面支出和乡村振兴路方面支出。</w:t>
      </w:r>
    </w:p>
    <w:p>
      <w:pPr>
        <w:ind w:firstLine="645"/>
        <w:rPr>
          <w:rFonts w:hint="eastAsia" w:ascii="仿宋" w:hAnsi="仿宋" w:eastAsia="仿宋" w:cs="仿宋_GB2312"/>
          <w:sz w:val="32"/>
          <w:szCs w:val="32"/>
        </w:rPr>
      </w:pPr>
      <w:r>
        <w:rPr>
          <w:rFonts w:hint="eastAsia" w:ascii="仿宋" w:hAnsi="仿宋" w:eastAsia="仿宋"/>
          <w:color w:val="000000"/>
          <w:sz w:val="32"/>
          <w:szCs w:val="32"/>
        </w:rPr>
        <w:t>按功能分类</w:t>
      </w:r>
      <w:r>
        <w:rPr>
          <w:rFonts w:hint="eastAsia" w:ascii="仿宋" w:hAnsi="仿宋" w:eastAsia="仿宋" w:cs="仿宋_GB2312"/>
          <w:sz w:val="32"/>
          <w:szCs w:val="32"/>
        </w:rPr>
        <w:t>一般公共服务支出1799万元， 公共安全支出15万元，教、科、文育支出178万元， 社会保障和就业支出78万元，卫生健康支出191万元， 农林水支出2142万元，住房保障支出72万元，城乡社区支出4717万元，节能环保支出278万元。</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5、举借债务情况</w:t>
      </w:r>
    </w:p>
    <w:p>
      <w:pPr>
        <w:pStyle w:val="2"/>
        <w:ind w:firstLine="640"/>
        <w:rPr>
          <w:rFonts w:hint="eastAsia" w:ascii="仿宋" w:hAnsi="仿宋" w:eastAsia="仿宋"/>
          <w:color w:val="000000"/>
          <w:sz w:val="32"/>
          <w:szCs w:val="32"/>
        </w:rPr>
      </w:pPr>
      <w:r>
        <w:rPr>
          <w:rFonts w:hint="eastAsia" w:ascii="仿宋" w:hAnsi="仿宋" w:eastAsia="仿宋"/>
          <w:color w:val="000000"/>
          <w:sz w:val="32"/>
          <w:szCs w:val="32"/>
        </w:rPr>
        <w:t>2021年，全镇举借债务为零。</w:t>
      </w:r>
    </w:p>
    <w:p>
      <w:pPr>
        <w:pStyle w:val="2"/>
        <w:rPr>
          <w:rFonts w:hint="eastAsia"/>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6、“三公”经费执行情况</w:t>
      </w:r>
    </w:p>
    <w:p>
      <w:pPr>
        <w:ind w:firstLine="640" w:firstLineChars="200"/>
        <w:rPr>
          <w:rFonts w:hint="eastAsia" w:ascii="仿宋" w:hAnsi="仿宋" w:eastAsia="仿宋"/>
          <w:sz w:val="32"/>
          <w:szCs w:val="32"/>
        </w:rPr>
      </w:pPr>
      <w:r>
        <w:rPr>
          <w:rFonts w:hint="eastAsia" w:ascii="仿宋" w:hAnsi="仿宋" w:eastAsia="仿宋"/>
          <w:sz w:val="32"/>
          <w:szCs w:val="32"/>
        </w:rPr>
        <w:t>依据戒奢尚俭、集中财力办大事的原则，2021年“三公”经费总量年初预算为22万元，年终决算“三公”经费数为15.36万元，为预算的69.82%。</w:t>
      </w:r>
    </w:p>
    <w:p>
      <w:pPr>
        <w:ind w:firstLine="640" w:firstLineChars="200"/>
        <w:rPr>
          <w:rFonts w:hint="eastAsia" w:ascii="仿宋" w:hAnsi="仿宋" w:eastAsia="仿宋"/>
          <w:sz w:val="32"/>
          <w:szCs w:val="32"/>
        </w:rPr>
      </w:pPr>
      <w:r>
        <w:rPr>
          <w:rFonts w:hint="eastAsia" w:ascii="仿宋" w:hAnsi="仿宋" w:eastAsia="仿宋"/>
          <w:sz w:val="32"/>
          <w:szCs w:val="32"/>
        </w:rPr>
        <w:t>“因公出国（境）费用”年初预算和年终决算均为0万元，因公出国团组数和人次数均为0,均与上年持平。</w:t>
      </w:r>
    </w:p>
    <w:p>
      <w:pPr>
        <w:ind w:firstLine="640" w:firstLineChars="200"/>
        <w:rPr>
          <w:rFonts w:hint="eastAsia" w:ascii="仿宋" w:hAnsi="仿宋" w:eastAsia="仿宋"/>
          <w:sz w:val="32"/>
          <w:szCs w:val="32"/>
        </w:rPr>
      </w:pPr>
      <w:r>
        <w:rPr>
          <w:rFonts w:hint="eastAsia" w:ascii="仿宋" w:hAnsi="仿宋" w:eastAsia="仿宋"/>
          <w:sz w:val="32"/>
          <w:szCs w:val="32"/>
        </w:rPr>
        <w:t>“公务接待费”年初预算8万元，年终决算数为5.5万元，为预算的68.8%，国内公务接待223批次,1832人。</w:t>
      </w:r>
    </w:p>
    <w:p>
      <w:pPr>
        <w:ind w:firstLine="640" w:firstLineChars="200"/>
        <w:rPr>
          <w:rFonts w:hint="eastAsia" w:ascii="仿宋" w:hAnsi="仿宋" w:eastAsia="仿宋"/>
          <w:sz w:val="32"/>
          <w:szCs w:val="32"/>
        </w:rPr>
      </w:pPr>
      <w:r>
        <w:rPr>
          <w:rFonts w:hint="eastAsia" w:ascii="仿宋" w:hAnsi="仿宋" w:eastAsia="仿宋"/>
          <w:sz w:val="32"/>
          <w:szCs w:val="32"/>
        </w:rPr>
        <w:t>“公务用车运行维护费”年初预算14万元，年终决算数为9.86万元，为预算的70.43%。</w:t>
      </w:r>
    </w:p>
    <w:p>
      <w:pPr>
        <w:widowControl/>
        <w:spacing w:line="590" w:lineRule="exact"/>
        <w:ind w:firstLine="640" w:firstLineChars="200"/>
        <w:jc w:val="left"/>
        <w:rPr>
          <w:rFonts w:hint="eastAsia" w:ascii="仿宋" w:hAnsi="仿宋" w:eastAsia="仿宋"/>
          <w:sz w:val="32"/>
          <w:szCs w:val="32"/>
        </w:rPr>
      </w:pPr>
      <w:r>
        <w:rPr>
          <w:rFonts w:hint="eastAsia" w:ascii="仿宋" w:hAnsi="仿宋" w:eastAsia="仿宋"/>
          <w:sz w:val="32"/>
          <w:szCs w:val="32"/>
        </w:rPr>
        <w:t>“公务用车购置”年初预算和年终决算均为0万元，均与上年持平。</w:t>
      </w:r>
    </w:p>
    <w:p>
      <w:pPr>
        <w:widowControl/>
        <w:spacing w:line="590" w:lineRule="exact"/>
        <w:ind w:firstLine="643" w:firstLineChars="200"/>
        <w:jc w:val="left"/>
        <w:rPr>
          <w:rFonts w:hint="eastAsia" w:ascii="仿宋" w:hAnsi="仿宋" w:eastAsia="仿宋" w:cs="仿宋_GB2312"/>
          <w:b/>
          <w:sz w:val="32"/>
          <w:szCs w:val="32"/>
        </w:rPr>
      </w:pPr>
      <w:r>
        <w:rPr>
          <w:rFonts w:hint="eastAsia" w:ascii="仿宋" w:hAnsi="仿宋" w:eastAsia="仿宋"/>
          <w:b/>
          <w:color w:val="000000"/>
          <w:sz w:val="32"/>
          <w:szCs w:val="32"/>
        </w:rPr>
        <w:t>7、</w:t>
      </w:r>
      <w:r>
        <w:rPr>
          <w:rFonts w:hint="eastAsia" w:ascii="仿宋" w:hAnsi="仿宋" w:eastAsia="仿宋" w:cs="仿宋_GB2312"/>
          <w:b/>
          <w:sz w:val="32"/>
          <w:szCs w:val="32"/>
        </w:rPr>
        <w:t>国有资产占用情况</w:t>
      </w:r>
    </w:p>
    <w:p>
      <w:pPr>
        <w:widowControl/>
        <w:spacing w:line="590" w:lineRule="exact"/>
        <w:ind w:firstLine="640" w:firstLineChars="200"/>
        <w:outlineLvl w:val="1"/>
        <w:rPr>
          <w:rFonts w:hint="eastAsia" w:ascii="仿宋" w:hAnsi="仿宋" w:eastAsia="仿宋" w:cs="仿宋_GB2312"/>
          <w:sz w:val="32"/>
          <w:szCs w:val="32"/>
        </w:rPr>
      </w:pPr>
      <w:r>
        <w:rPr>
          <w:rFonts w:hint="eastAsia" w:ascii="仿宋" w:hAnsi="仿宋" w:eastAsia="仿宋" w:cs="仿宋_GB2312"/>
          <w:sz w:val="32"/>
          <w:szCs w:val="32"/>
        </w:rPr>
        <w:t>2021年期末，</w:t>
      </w:r>
      <w:r>
        <w:rPr>
          <w:rFonts w:hint="eastAsia" w:ascii="仿宋" w:hAnsi="仿宋" w:eastAsia="仿宋"/>
          <w:color w:val="000000"/>
          <w:sz w:val="32"/>
          <w:szCs w:val="32"/>
        </w:rPr>
        <w:t>我单位车辆账面数量</w:t>
      </w:r>
      <w:r>
        <w:rPr>
          <w:rFonts w:ascii="仿宋" w:hAnsi="仿宋" w:eastAsia="仿宋"/>
          <w:color w:val="000000"/>
          <w:sz w:val="32"/>
          <w:szCs w:val="32"/>
        </w:rPr>
        <w:t xml:space="preserve"> 1</w:t>
      </w:r>
      <w:r>
        <w:rPr>
          <w:rFonts w:hint="eastAsia" w:ascii="仿宋" w:hAnsi="仿宋" w:eastAsia="仿宋"/>
          <w:color w:val="000000"/>
          <w:sz w:val="32"/>
          <w:szCs w:val="32"/>
        </w:rPr>
        <w:t>辆，</w:t>
      </w:r>
      <w:r>
        <w:rPr>
          <w:rFonts w:hint="eastAsia" w:ascii="仿宋" w:hAnsi="仿宋" w:eastAsia="仿宋"/>
          <w:sz w:val="32"/>
          <w:szCs w:val="32"/>
        </w:rPr>
        <w:t>实际上区政府公务用车管理平台分配给我镇</w:t>
      </w:r>
      <w:r>
        <w:rPr>
          <w:rFonts w:ascii="仿宋" w:hAnsi="仿宋" w:eastAsia="仿宋"/>
          <w:sz w:val="32"/>
          <w:szCs w:val="32"/>
        </w:rPr>
        <w:t>3</w:t>
      </w:r>
      <w:r>
        <w:rPr>
          <w:rFonts w:hint="eastAsia" w:ascii="仿宋" w:hAnsi="仿宋" w:eastAsia="仿宋"/>
          <w:sz w:val="32"/>
          <w:szCs w:val="32"/>
        </w:rPr>
        <w:t>辆车使用，龙安区土地局调拨我镇土地所</w:t>
      </w:r>
      <w:r>
        <w:rPr>
          <w:rFonts w:ascii="仿宋" w:hAnsi="仿宋" w:eastAsia="仿宋"/>
          <w:sz w:val="32"/>
          <w:szCs w:val="32"/>
        </w:rPr>
        <w:t>1</w:t>
      </w:r>
      <w:r>
        <w:rPr>
          <w:rFonts w:hint="eastAsia" w:ascii="仿宋" w:hAnsi="仿宋" w:eastAsia="仿宋"/>
          <w:sz w:val="32"/>
          <w:szCs w:val="32"/>
        </w:rPr>
        <w:t>辆车，这</w:t>
      </w:r>
      <w:r>
        <w:rPr>
          <w:rFonts w:ascii="仿宋" w:hAnsi="仿宋" w:eastAsia="仿宋"/>
          <w:sz w:val="32"/>
          <w:szCs w:val="32"/>
        </w:rPr>
        <w:t>4</w:t>
      </w:r>
      <w:r>
        <w:rPr>
          <w:rFonts w:hint="eastAsia" w:ascii="仿宋" w:hAnsi="仿宋" w:eastAsia="仿宋"/>
          <w:sz w:val="32"/>
          <w:szCs w:val="32"/>
        </w:rPr>
        <w:t>辆车产权不在我单位，但实际属于我单位公务用车</w:t>
      </w:r>
      <w:r>
        <w:rPr>
          <w:rFonts w:hint="eastAsia" w:ascii="仿宋" w:hAnsi="仿宋" w:eastAsia="仿宋" w:cs="仿宋_GB2312"/>
          <w:sz w:val="32"/>
          <w:szCs w:val="32"/>
        </w:rPr>
        <w:t>；单位价值50万元以上通用设备0台（套），单位价值100万元以上专用设备0台（套）。</w:t>
      </w:r>
    </w:p>
    <w:p>
      <w:pPr>
        <w:widowControl/>
        <w:spacing w:line="590" w:lineRule="exact"/>
        <w:ind w:firstLine="643" w:firstLineChars="200"/>
        <w:outlineLvl w:val="1"/>
        <w:rPr>
          <w:rFonts w:hint="eastAsia" w:ascii="仿宋" w:hAnsi="仿宋" w:eastAsia="仿宋" w:cs="黑体"/>
          <w:b/>
          <w:sz w:val="32"/>
          <w:szCs w:val="32"/>
        </w:rPr>
      </w:pPr>
      <w:r>
        <w:rPr>
          <w:rFonts w:hint="eastAsia" w:ascii="仿宋" w:hAnsi="仿宋" w:eastAsia="仿宋"/>
          <w:b/>
          <w:color w:val="000000"/>
          <w:sz w:val="32"/>
          <w:szCs w:val="32"/>
        </w:rPr>
        <w:t>8、</w:t>
      </w:r>
      <w:r>
        <w:rPr>
          <w:rFonts w:hint="eastAsia" w:ascii="仿宋" w:hAnsi="仿宋" w:eastAsia="仿宋" w:cs="黑体"/>
          <w:b/>
          <w:sz w:val="32"/>
          <w:szCs w:val="32"/>
        </w:rPr>
        <w:t>政府采购支出情况说明</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2021年度政府采购支出总额1678万元，其中：政府采购货物支出13万元、政府采购工程支出1665万元、政府采购服务支出0万元。</w:t>
      </w:r>
    </w:p>
    <w:p>
      <w:pPr>
        <w:pStyle w:val="2"/>
        <w:rPr>
          <w:rFonts w:hint="eastAsia"/>
        </w:rPr>
      </w:pPr>
    </w:p>
    <w:p>
      <w:pPr>
        <w:pStyle w:val="2"/>
        <w:rPr>
          <w:rFonts w:hint="eastAsia"/>
        </w:rPr>
      </w:pPr>
    </w:p>
    <w:p>
      <w:pPr>
        <w:widowControl/>
        <w:spacing w:line="590" w:lineRule="exact"/>
        <w:ind w:firstLine="643" w:firstLineChars="200"/>
        <w:outlineLvl w:val="1"/>
        <w:rPr>
          <w:rFonts w:hint="eastAsia" w:ascii="仿宋" w:hAnsi="仿宋" w:eastAsia="仿宋"/>
          <w:b/>
          <w:color w:val="000000"/>
          <w:sz w:val="32"/>
          <w:szCs w:val="32"/>
        </w:rPr>
      </w:pPr>
      <w:r>
        <w:rPr>
          <w:rFonts w:hint="eastAsia" w:ascii="仿宋" w:hAnsi="仿宋" w:eastAsia="仿宋"/>
          <w:b/>
          <w:color w:val="000000"/>
          <w:sz w:val="32"/>
          <w:szCs w:val="32"/>
        </w:rPr>
        <w:t>9、绩效管理工作开展情况。</w:t>
      </w:r>
    </w:p>
    <w:p>
      <w:pPr>
        <w:widowControl/>
        <w:spacing w:line="590" w:lineRule="exact"/>
        <w:ind w:firstLine="640" w:firstLineChars="200"/>
        <w:outlineLvl w:val="2"/>
        <w:rPr>
          <w:rFonts w:hint="eastAsia" w:ascii="仿宋" w:hAnsi="仿宋" w:eastAsia="仿宋" w:cs="仿宋_GB2312"/>
          <w:sz w:val="32"/>
          <w:szCs w:val="32"/>
        </w:rPr>
      </w:pPr>
      <w:r>
        <w:rPr>
          <w:rFonts w:hint="eastAsia" w:ascii="仿宋" w:hAnsi="仿宋" w:eastAsia="仿宋" w:cs="仿宋_GB2312"/>
          <w:sz w:val="32"/>
          <w:szCs w:val="32"/>
        </w:rPr>
        <w:t>2021年度我单位开展了绩效评价，合理设定绩效目标，开展过程中严格把控，关注实施进度及实施效果，保证绩效目标的实现。</w:t>
      </w:r>
    </w:p>
    <w:p>
      <w:pPr>
        <w:widowControl/>
        <w:spacing w:line="590" w:lineRule="exact"/>
        <w:ind w:firstLine="640" w:firstLineChars="200"/>
        <w:outlineLvl w:val="2"/>
        <w:rPr>
          <w:rFonts w:hint="eastAsia" w:ascii="仿宋" w:hAnsi="仿宋" w:eastAsia="仿宋" w:cs="仿宋_GB2312"/>
          <w:sz w:val="32"/>
          <w:szCs w:val="32"/>
        </w:rPr>
      </w:pPr>
      <w:r>
        <w:rPr>
          <w:rFonts w:hint="eastAsia" w:ascii="仿宋" w:hAnsi="仿宋" w:eastAsia="仿宋" w:cs="仿宋_GB2312"/>
          <w:sz w:val="32"/>
          <w:szCs w:val="32"/>
        </w:rPr>
        <w:t>我镇通过对项目决策、项目管理、项目产出、项目效益等方面对整体项目预算支出绩效自评得分为90分。</w:t>
      </w:r>
    </w:p>
    <w:p>
      <w:pPr>
        <w:widowControl/>
        <w:shd w:val="clear" w:color="auto" w:fill="FFFFFF"/>
        <w:spacing w:line="560" w:lineRule="exact"/>
        <w:ind w:firstLine="643" w:firstLineChars="200"/>
        <w:rPr>
          <w:rFonts w:ascii="仿宋" w:hAnsi="仿宋" w:eastAsia="仿宋"/>
          <w:b/>
          <w:color w:val="000000"/>
          <w:sz w:val="32"/>
          <w:szCs w:val="32"/>
        </w:rPr>
      </w:pPr>
      <w:r>
        <w:rPr>
          <w:rFonts w:ascii="仿宋" w:hAnsi="仿宋" w:eastAsia="仿宋"/>
          <w:b/>
          <w:color w:val="000000"/>
          <w:sz w:val="32"/>
          <w:szCs w:val="32"/>
        </w:rPr>
        <w:t>三</w:t>
      </w:r>
      <w:r>
        <w:rPr>
          <w:rFonts w:hint="eastAsia" w:ascii="仿宋" w:hAnsi="仿宋" w:eastAsia="仿宋"/>
          <w:b/>
          <w:color w:val="000000"/>
          <w:sz w:val="32"/>
          <w:szCs w:val="32"/>
        </w:rPr>
        <w:t>、主要名词解释</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p>
    <w:p>
      <w:pPr>
        <w:ind w:firstLine="643" w:firstLineChars="200"/>
        <w:rPr>
          <w:rFonts w:hint="eastAsia" w:ascii="仿宋" w:hAnsi="仿宋" w:eastAsia="仿宋"/>
          <w:b/>
          <w:color w:val="000000"/>
          <w:sz w:val="32"/>
          <w:szCs w:val="32"/>
        </w:rPr>
      </w:pPr>
    </w:p>
    <w:p>
      <w:pPr>
        <w:pStyle w:val="2"/>
        <w:rPr>
          <w:rFonts w:hint="eastAsia"/>
        </w:rPr>
      </w:pPr>
    </w:p>
    <w:p>
      <w:pPr>
        <w:pStyle w:val="2"/>
        <w:rPr>
          <w:rFonts w:hint="eastAsia"/>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tbl>
      <w:tblPr>
        <w:tblStyle w:val="7"/>
        <w:tblW w:w="0" w:type="auto"/>
        <w:tblInd w:w="94" w:type="dxa"/>
        <w:tblLayout w:type="autofit"/>
        <w:tblCellMar>
          <w:top w:w="0" w:type="dxa"/>
          <w:left w:w="108" w:type="dxa"/>
          <w:bottom w:w="0" w:type="dxa"/>
          <w:right w:w="108" w:type="dxa"/>
        </w:tblCellMar>
      </w:tblPr>
      <w:tblGrid>
        <w:gridCol w:w="3718"/>
        <w:gridCol w:w="605"/>
        <w:gridCol w:w="1189"/>
        <w:gridCol w:w="1189"/>
        <w:gridCol w:w="5274"/>
        <w:gridCol w:w="605"/>
        <w:gridCol w:w="1500"/>
      </w:tblGrid>
      <w:tr>
        <w:tblPrEx>
          <w:tblCellMar>
            <w:top w:w="0" w:type="dxa"/>
            <w:left w:w="108" w:type="dxa"/>
            <w:bottom w:w="0" w:type="dxa"/>
            <w:right w:w="108" w:type="dxa"/>
          </w:tblCellMar>
        </w:tblPrEx>
        <w:trPr>
          <w:trHeight w:val="1719" w:hRule="atLeast"/>
        </w:trPr>
        <w:tc>
          <w:tcPr>
            <w:tcW w:w="0" w:type="auto"/>
            <w:gridSpan w:val="7"/>
            <w:tcBorders>
              <w:top w:val="nil"/>
              <w:left w:val="nil"/>
              <w:bottom w:val="nil"/>
              <w:right w:val="single" w:color="808080" w:sz="4" w:space="0"/>
            </w:tcBorders>
            <w:shd w:val="clear" w:color="auto" w:fill="FFFFFF"/>
            <w:noWrap/>
            <w:vAlign w:val="center"/>
          </w:tcPr>
          <w:p>
            <w:pPr>
              <w:widowControl/>
              <w:jc w:val="left"/>
              <w:rPr>
                <w:rFonts w:ascii="Tahoma" w:hAnsi="Tahoma" w:cs="Tahoma"/>
                <w:kern w:val="0"/>
                <w:sz w:val="16"/>
                <w:szCs w:val="16"/>
              </w:rPr>
            </w:pPr>
            <w:r>
              <w:rPr>
                <w:rFonts w:ascii="Tahoma" w:hAnsi="Tahoma" w:cs="Tahoma"/>
                <w:kern w:val="0"/>
                <w:sz w:val="16"/>
                <w:szCs w:val="16"/>
              </w:rPr>
              <w:t>　</w:t>
            </w:r>
          </w:p>
          <w:p>
            <w:pPr>
              <w:widowControl/>
              <w:jc w:val="left"/>
              <w:rPr>
                <w:rFonts w:ascii="宋体" w:hAnsi="宋体" w:cs="Arial"/>
                <w:kern w:val="0"/>
                <w:sz w:val="18"/>
                <w:szCs w:val="18"/>
              </w:rPr>
            </w:pPr>
            <w:r>
              <w:rPr>
                <w:rFonts w:hint="eastAsia" w:ascii="宋体" w:hAnsi="宋体" w:cs="Arial"/>
                <w:kern w:val="0"/>
                <w:sz w:val="18"/>
                <w:szCs w:val="18"/>
              </w:rPr>
              <w:t>　</w:t>
            </w:r>
          </w:p>
          <w:p>
            <w:pPr>
              <w:widowControl/>
              <w:jc w:val="left"/>
              <w:rPr>
                <w:rFonts w:ascii="宋体" w:hAnsi="宋体" w:cs="Arial"/>
                <w:kern w:val="0"/>
                <w:sz w:val="18"/>
                <w:szCs w:val="18"/>
              </w:rPr>
            </w:pPr>
            <w:r>
              <w:rPr>
                <w:rFonts w:hint="eastAsia" w:ascii="宋体" w:hAnsi="宋体" w:cs="Arial"/>
                <w:kern w:val="0"/>
                <w:sz w:val="18"/>
                <w:szCs w:val="18"/>
              </w:rPr>
              <w:t>　</w:t>
            </w:r>
          </w:p>
          <w:p>
            <w:pPr>
              <w:widowControl/>
              <w:jc w:val="center"/>
              <w:rPr>
                <w:rFonts w:ascii="黑体" w:hAnsi="黑体" w:eastAsia="黑体" w:cs="Arial"/>
                <w:kern w:val="0"/>
                <w:sz w:val="44"/>
                <w:szCs w:val="44"/>
              </w:rPr>
            </w:pPr>
            <w:r>
              <w:rPr>
                <w:rFonts w:hint="eastAsia" w:ascii="黑体" w:hAnsi="黑体" w:eastAsia="黑体" w:cs="Arial"/>
                <w:kern w:val="0"/>
                <w:sz w:val="44"/>
                <w:szCs w:val="44"/>
              </w:rPr>
              <w:t>机构运行信息表</w:t>
            </w:r>
          </w:p>
          <w:p>
            <w:pPr>
              <w:widowControl/>
              <w:jc w:val="left"/>
              <w:rPr>
                <w:rFonts w:ascii="宋体" w:hAnsi="宋体" w:cs="Arial"/>
                <w:kern w:val="0"/>
                <w:sz w:val="18"/>
                <w:szCs w:val="18"/>
              </w:rPr>
            </w:pPr>
            <w:r>
              <w:rPr>
                <w:rFonts w:hint="eastAsia" w:ascii="宋体" w:hAnsi="宋体" w:cs="Arial"/>
                <w:kern w:val="0"/>
                <w:sz w:val="18"/>
                <w:szCs w:val="18"/>
              </w:rPr>
              <w:t>　</w:t>
            </w:r>
          </w:p>
          <w:p>
            <w:pPr>
              <w:widowControl/>
              <w:jc w:val="left"/>
              <w:rPr>
                <w:rFonts w:ascii="宋体" w:hAnsi="宋体" w:cs="Arial"/>
                <w:kern w:val="0"/>
                <w:sz w:val="18"/>
                <w:szCs w:val="18"/>
              </w:rPr>
            </w:pPr>
            <w:r>
              <w:rPr>
                <w:rFonts w:hint="eastAsia" w:ascii="宋体" w:hAnsi="宋体" w:cs="Arial"/>
                <w:kern w:val="0"/>
                <w:sz w:val="18"/>
                <w:szCs w:val="18"/>
              </w:rPr>
              <w:t>　</w:t>
            </w:r>
          </w:p>
          <w:p>
            <w:pPr>
              <w:widowControl/>
              <w:jc w:val="lef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widowControl/>
              <w:jc w:val="left"/>
              <w:rPr>
                <w:rFonts w:ascii="Tahoma" w:hAnsi="Tahoma" w:cs="Tahoma"/>
                <w:kern w:val="0"/>
                <w:sz w:val="16"/>
                <w:szCs w:val="16"/>
              </w:rPr>
            </w:pPr>
            <w:r>
              <w:rPr>
                <w:rFonts w:ascii="Tahoma" w:hAnsi="Tahoma" w:cs="Tahoma"/>
                <w:kern w:val="0"/>
                <w:sz w:val="16"/>
                <w:szCs w:val="16"/>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single" w:color="808080" w:sz="4" w:space="0"/>
            </w:tcBorders>
            <w:shd w:val="clear" w:color="auto" w:fill="FFFFFF"/>
            <w:noWrap/>
            <w:vAlign w:val="center"/>
          </w:tcPr>
          <w:p>
            <w:pPr>
              <w:widowControl/>
              <w:jc w:val="right"/>
              <w:rPr>
                <w:rFonts w:ascii="宋体" w:hAnsi="宋体" w:cs="Arial"/>
                <w:kern w:val="0"/>
                <w:sz w:val="22"/>
                <w:szCs w:val="22"/>
              </w:rPr>
            </w:pPr>
            <w:r>
              <w:rPr>
                <w:rFonts w:hint="eastAsia" w:ascii="宋体" w:hAnsi="宋体" w:cs="Arial"/>
                <w:kern w:val="0"/>
                <w:sz w:val="22"/>
                <w:szCs w:val="22"/>
              </w:rPr>
              <w:t>财决附03表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22"/>
                <w:szCs w:val="22"/>
              </w:rPr>
            </w:pPr>
            <w:r>
              <w:rPr>
                <w:rFonts w:hint="eastAsia" w:ascii="宋体" w:hAnsi="宋体" w:cs="Arial"/>
                <w:kern w:val="0"/>
                <w:sz w:val="22"/>
                <w:szCs w:val="22"/>
              </w:rPr>
              <w:t>编制单位：安阳市龙安区龙泉镇</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center"/>
              <w:rPr>
                <w:rFonts w:ascii="宋体" w:hAnsi="宋体" w:cs="Arial"/>
                <w:kern w:val="0"/>
                <w:sz w:val="22"/>
                <w:szCs w:val="22"/>
              </w:rPr>
            </w:pPr>
            <w:r>
              <w:rPr>
                <w:rFonts w:hint="eastAsia" w:ascii="宋体" w:hAnsi="宋体" w:cs="Arial"/>
                <w:kern w:val="0"/>
                <w:sz w:val="22"/>
                <w:szCs w:val="22"/>
              </w:rPr>
              <w:t>2021年度</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rPr>
                <w:rFonts w:ascii="宋体" w:hAnsi="宋体" w:cs="Arial"/>
                <w:kern w:val="0"/>
                <w:sz w:val="22"/>
                <w:szCs w:val="22"/>
              </w:rPr>
            </w:pPr>
            <w:r>
              <w:rPr>
                <w:rFonts w:hint="eastAsia" w:ascii="宋体" w:hAnsi="宋体" w:cs="Arial"/>
                <w:kern w:val="0"/>
                <w:sz w:val="22"/>
                <w:szCs w:val="22"/>
              </w:rPr>
              <w:t>金额单位：元</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项  目</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预算数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统计数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项  目</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统计数</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栏  次</w:t>
            </w: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栏  次</w:t>
            </w: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kern w:val="0"/>
                <w:sz w:val="20"/>
                <w:szCs w:val="20"/>
              </w:rPr>
            </w:pPr>
          </w:p>
        </w:tc>
        <w:tc>
          <w:tcPr>
            <w:tcW w:w="0" w:type="auto"/>
            <w:tcBorders>
              <w:top w:val="nil"/>
              <w:left w:val="nil"/>
              <w:bottom w:val="single" w:color="000000" w:sz="4" w:space="0"/>
              <w:right w:val="single" w:color="000000" w:sz="12"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一、“三公”经费支出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四、机关运行经费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27</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220,000.00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153,559.00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（一）行政单位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1．因公出国（境）费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（二）参照公务员法管理事业单位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29</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2．公务用车购置及运行维护费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140,000.00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98,599.00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五、资产信息</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（1）公务用车购置费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（一）车辆数合计（辆）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31</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1</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（2）公务用车运行维护费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140,000.00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98,599.00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1．副部（省）级及以上领导用车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32</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3．公务接待费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80,000.00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54,960.00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2．主要领导干部用车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33</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（1）国内接待费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54,960.00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3．机要通信用车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34</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其中：外事接待费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4．应急保障用车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35</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（2）国（境）外接待费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5．执法执勤用车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36</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（二）相关统计数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6．特种专业技术用车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37</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1．因公出国（境）团组数（个）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7．离退休干部用车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2．因公出国（境）人次数（人）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8．其他用车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39</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3．公务用车购置数（辆）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（二）单价50万元（含）以上的通用设备（台、套…）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4．公务用车保有量（辆）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（三）单价100万元（含）以上的专用设备（台、套…）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41</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5．国内公务接待批次（个）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223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六、政府采购支出信息</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42</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其中：外事接待批次（个）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（一）政府采购支出合计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43</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16,782,264.80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6．国内公务接待人次（人）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1,832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1．政府采购货物支出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44</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125,387.00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其中：外事接待人次（人）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2．政府采购工程支出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45</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16,656,877.80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7．国（境）外公务接待批次（个）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3．政府采购服务支出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46</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8．国（境）外公务接待人次（人）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（二）政府采购授予中小企业合同金额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47</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二、会议费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56,665.00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其中：授予小微企业合同金额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三、培训费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1,413.00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七、由养老保险基金发放养老金的离退休人员（人）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49</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30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（一）离休人员</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（二）财政拨款退休人员</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51</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30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12"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26</w:t>
            </w:r>
          </w:p>
        </w:tc>
        <w:tc>
          <w:tcPr>
            <w:tcW w:w="0" w:type="auto"/>
            <w:tcBorders>
              <w:top w:val="nil"/>
              <w:left w:val="nil"/>
              <w:bottom w:val="single" w:color="000000" w:sz="12"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12"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（三）经费自理退休人员</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52</w:t>
            </w:r>
          </w:p>
        </w:tc>
        <w:tc>
          <w:tcPr>
            <w:tcW w:w="0" w:type="auto"/>
            <w:tcBorders>
              <w:top w:val="nil"/>
              <w:left w:val="nil"/>
              <w:bottom w:val="single" w:color="000000" w:sz="12"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bl>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sectPr>
          <w:pgSz w:w="16838" w:h="11906" w:orient="landscape"/>
          <w:pgMar w:top="1797" w:right="1440" w:bottom="1797" w:left="1440" w:header="851" w:footer="992" w:gutter="0"/>
          <w:cols w:space="720" w:num="1"/>
          <w:docGrid w:type="lines" w:linePitch="312" w:charSpace="0"/>
        </w:sectPr>
      </w:pPr>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1-1</w:t>
      </w:r>
    </w:p>
    <w:p>
      <w:pPr>
        <w:spacing w:line="58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区级预算部门</w:t>
      </w:r>
      <w:r>
        <w:rPr>
          <w:rFonts w:ascii="方正小标宋_GBK" w:hAnsi="方正小标宋_GBK" w:eastAsia="方正小标宋_GBK" w:cs="方正小标宋_GBK"/>
          <w:color w:val="000000"/>
          <w:kern w:val="0"/>
          <w:sz w:val="32"/>
          <w:szCs w:val="32"/>
        </w:rPr>
        <w:t>(</w:t>
      </w:r>
      <w:r>
        <w:rPr>
          <w:rFonts w:hint="eastAsia" w:ascii="方正小标宋_GBK" w:hAnsi="方正小标宋_GBK" w:eastAsia="方正小标宋_GBK" w:cs="方正小标宋_GBK"/>
          <w:color w:val="000000"/>
          <w:kern w:val="0"/>
          <w:sz w:val="32"/>
          <w:szCs w:val="32"/>
        </w:rPr>
        <w:t>单位</w:t>
      </w:r>
      <w:r>
        <w:rPr>
          <w:rFonts w:ascii="方正小标宋_GBK" w:hAnsi="方正小标宋_GBK" w:eastAsia="方正小标宋_GBK" w:cs="方正小标宋_GBK"/>
          <w:color w:val="000000"/>
          <w:kern w:val="0"/>
          <w:sz w:val="32"/>
          <w:szCs w:val="32"/>
        </w:rPr>
        <w:t>)</w:t>
      </w:r>
      <w:r>
        <w:rPr>
          <w:rFonts w:hint="eastAsia" w:ascii="方正小标宋_GBK" w:hAnsi="方正小标宋_GBK" w:eastAsia="方正小标宋_GBK" w:cs="方正小标宋_GBK"/>
          <w:color w:val="000000"/>
          <w:kern w:val="0"/>
          <w:sz w:val="32"/>
          <w:szCs w:val="32"/>
        </w:rPr>
        <w:t>整体预算绩效自评表</w:t>
      </w:r>
    </w:p>
    <w:p>
      <w:pPr>
        <w:spacing w:line="580" w:lineRule="exact"/>
        <w:jc w:val="center"/>
        <w:rPr>
          <w:rFonts w:ascii="方正小标宋简体" w:hAnsi="方正小标宋简体" w:eastAsia="方正小标宋简体" w:cs="方正小标宋简体"/>
          <w:color w:val="auto"/>
          <w:kern w:val="0"/>
          <w:sz w:val="40"/>
          <w:szCs w:val="40"/>
        </w:rPr>
      </w:pPr>
      <w:r>
        <w:rPr>
          <w:rFonts w:hint="eastAsia" w:ascii="楷体_GB2312" w:hAnsi="楷体_GB2312" w:eastAsia="楷体_GB2312" w:cs="楷体_GB2312"/>
          <w:color w:val="auto"/>
          <w:kern w:val="0"/>
          <w:sz w:val="32"/>
          <w:szCs w:val="32"/>
        </w:rPr>
        <w:t>（</w:t>
      </w:r>
      <w:r>
        <w:rPr>
          <w:rFonts w:ascii="楷体_GB2312" w:hAnsi="楷体_GB2312" w:eastAsia="楷体_GB2312" w:cs="楷体_GB2312"/>
          <w:color w:val="auto"/>
          <w:kern w:val="0"/>
          <w:sz w:val="32"/>
          <w:szCs w:val="32"/>
        </w:rPr>
        <w:t>2021</w:t>
      </w:r>
      <w:r>
        <w:rPr>
          <w:rFonts w:hint="eastAsia" w:ascii="楷体_GB2312" w:hAnsi="楷体_GB2312" w:eastAsia="楷体_GB2312" w:cs="楷体_GB2312"/>
          <w:color w:val="auto"/>
          <w:kern w:val="0"/>
          <w:sz w:val="32"/>
          <w:szCs w:val="32"/>
        </w:rPr>
        <w:t>年度）</w:t>
      </w:r>
    </w:p>
    <w:tbl>
      <w:tblPr>
        <w:tblStyle w:val="7"/>
        <w:tblW w:w="8973" w:type="dxa"/>
        <w:tblInd w:w="15" w:type="dxa"/>
        <w:tblLayout w:type="fixed"/>
        <w:tblCellMar>
          <w:top w:w="0" w:type="dxa"/>
          <w:left w:w="0" w:type="dxa"/>
          <w:bottom w:w="0" w:type="dxa"/>
          <w:right w:w="0" w:type="dxa"/>
        </w:tblCellMar>
      </w:tblPr>
      <w:tblGrid>
        <w:gridCol w:w="669"/>
        <w:gridCol w:w="1008"/>
        <w:gridCol w:w="1585"/>
        <w:gridCol w:w="714"/>
        <w:gridCol w:w="1031"/>
        <w:gridCol w:w="933"/>
        <w:gridCol w:w="654"/>
        <w:gridCol w:w="795"/>
        <w:gridCol w:w="1584"/>
      </w:tblGrid>
      <w:tr>
        <w:tblPrEx>
          <w:tblCellMar>
            <w:top w:w="0" w:type="dxa"/>
            <w:left w:w="0" w:type="dxa"/>
            <w:bottom w:w="0" w:type="dxa"/>
            <w:right w:w="0" w:type="dxa"/>
          </w:tblCellMar>
        </w:tblPrEx>
        <w:trPr>
          <w:trHeight w:val="90"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填报人</w:t>
            </w:r>
          </w:p>
        </w:tc>
        <w:tc>
          <w:tcPr>
            <w:tcW w:w="3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李彦书</w:t>
            </w:r>
          </w:p>
        </w:tc>
        <w:tc>
          <w:tcPr>
            <w:tcW w:w="23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联系电话</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13598108598</w:t>
            </w:r>
          </w:p>
        </w:tc>
      </w:tr>
      <w:tr>
        <w:tblPrEx>
          <w:tblCellMar>
            <w:top w:w="0" w:type="dxa"/>
            <w:left w:w="0" w:type="dxa"/>
            <w:bottom w:w="0" w:type="dxa"/>
            <w:right w:w="0" w:type="dxa"/>
          </w:tblCellMar>
        </w:tblPrEx>
        <w:trPr>
          <w:trHeight w:val="315"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部门（单位）名称</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龙泉镇人民政府</w:t>
            </w:r>
          </w:p>
        </w:tc>
      </w:tr>
      <w:tr>
        <w:tblPrEx>
          <w:tblCellMar>
            <w:top w:w="0" w:type="dxa"/>
            <w:left w:w="0" w:type="dxa"/>
            <w:bottom w:w="0" w:type="dxa"/>
            <w:right w:w="0" w:type="dxa"/>
          </w:tblCellMar>
        </w:tblPrEx>
        <w:trPr>
          <w:trHeight w:val="275"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年度履职目标</w:t>
            </w:r>
          </w:p>
        </w:tc>
        <w:tc>
          <w:tcPr>
            <w:tcW w:w="52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预期目标</w:t>
            </w:r>
          </w:p>
        </w:tc>
        <w:tc>
          <w:tcPr>
            <w:tcW w:w="30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实际完成情况</w:t>
            </w:r>
          </w:p>
        </w:tc>
      </w:tr>
      <w:tr>
        <w:tblPrEx>
          <w:tblCellMar>
            <w:top w:w="0" w:type="dxa"/>
            <w:left w:w="0" w:type="dxa"/>
            <w:bottom w:w="0" w:type="dxa"/>
            <w:right w:w="0" w:type="dxa"/>
          </w:tblCellMar>
        </w:tblPrEx>
        <w:trPr>
          <w:trHeight w:val="9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52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5"/>
              <w:spacing w:line="440" w:lineRule="exact"/>
              <w:ind w:firstLine="420" w:firstLineChars="200"/>
            </w:pPr>
            <w:r>
              <w:rPr>
                <w:rFonts w:hint="eastAsia" w:ascii="仿宋_GB2312" w:hAnsi="仿宋_GB2312" w:eastAsia="仿宋_GB2312" w:cs="仿宋_GB2312"/>
                <w:sz w:val="21"/>
                <w:szCs w:val="21"/>
              </w:rPr>
              <w:t>坚持以习近平新时代中国特色社会主义思想为指导，全面贯彻党的十九大和十九届二中、三中、四中、五中全会精神及习近平总书记考察河南时的重要讲话精神，立足实际科学谋划未来，坚持“生态兴镇、旅游重镇、经济强镇、美丽宜居新城镇”总思路不动摇，建设新时代现代化龙泉镇！</w:t>
            </w:r>
          </w:p>
        </w:tc>
        <w:tc>
          <w:tcPr>
            <w:tcW w:w="30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按年初预期目标，除发展新型农村集体经济“以奖代补”乡财政专项资金项目，其它陆续完工。</w:t>
            </w:r>
          </w:p>
        </w:tc>
      </w:tr>
      <w:tr>
        <w:tblPrEx>
          <w:tblCellMar>
            <w:top w:w="0" w:type="dxa"/>
            <w:left w:w="0" w:type="dxa"/>
            <w:bottom w:w="0" w:type="dxa"/>
            <w:right w:w="0" w:type="dxa"/>
          </w:tblCellMar>
        </w:tblPrEx>
        <w:trPr>
          <w:trHeight w:val="725" w:hRule="atLeast"/>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任务名称</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主要内容</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实际完成情况</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实际完成值发生偏差原因分析及改进措施</w:t>
            </w:r>
          </w:p>
        </w:tc>
      </w:tr>
      <w:tr>
        <w:tblPrEx>
          <w:tblCellMar>
            <w:top w:w="0" w:type="dxa"/>
            <w:left w:w="0" w:type="dxa"/>
            <w:bottom w:w="0" w:type="dxa"/>
            <w:right w:w="0" w:type="dxa"/>
          </w:tblCellMar>
        </w:tblPrEx>
        <w:trPr>
          <w:trHeight w:val="725" w:hRule="atLeast"/>
        </w:trPr>
        <w:tc>
          <w:tcPr>
            <w:tcW w:w="6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年度主要任务</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纪检监察工作规范化建设</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64%</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人员资金未到位</w:t>
            </w: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严格落实信访工作制度所需经费</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81%</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财政资金紧张</w:t>
            </w: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扶贫工作</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ascii="仿宋_GB2312" w:hAnsi="仿宋_GB2312" w:eastAsia="仿宋_GB2312" w:cs="仿宋_GB2312"/>
                <w:color w:val="000000"/>
                <w:kern w:val="0"/>
                <w:szCs w:val="21"/>
              </w:rPr>
              <w:t>96%</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环境监测</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ascii="仿宋_GB2312" w:hAnsi="仿宋_GB2312" w:eastAsia="仿宋_GB2312" w:cs="仿宋_GB2312"/>
                <w:color w:val="000000"/>
                <w:kern w:val="0"/>
                <w:szCs w:val="21"/>
              </w:rPr>
              <w:t>74%</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财政资金紧张</w:t>
            </w: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办公设备购置</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hint="eastAsia" w:ascii="仿宋_GB2312" w:hAnsi="仿宋_GB2312" w:eastAsia="仿宋_GB2312" w:cs="仿宋_GB2312"/>
                <w:color w:val="000000"/>
                <w:kern w:val="0"/>
                <w:szCs w:val="21"/>
              </w:rPr>
              <w:t>完工</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6</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环境保护</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hint="eastAsia" w:ascii="仿宋_GB2312" w:hAnsi="仿宋_GB2312" w:eastAsia="仿宋_GB2312" w:cs="仿宋_GB2312"/>
                <w:color w:val="000000"/>
                <w:kern w:val="0"/>
                <w:szCs w:val="21"/>
              </w:rPr>
              <w:t>完工</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699" w:hRule="exac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7</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示范区三公里范围及</w:t>
            </w:r>
            <w:r>
              <w:rPr>
                <w:rFonts w:ascii="仿宋_GB2312" w:hAnsi="仿宋_GB2312" w:eastAsia="仿宋_GB2312" w:cs="仿宋_GB2312"/>
                <w:color w:val="000000"/>
                <w:szCs w:val="21"/>
              </w:rPr>
              <w:t>S303</w:t>
            </w:r>
            <w:r>
              <w:rPr>
                <w:rFonts w:hint="eastAsia" w:ascii="仿宋_GB2312" w:hAnsi="仿宋_GB2312" w:eastAsia="仿宋_GB2312" w:cs="仿宋_GB2312"/>
                <w:color w:val="000000"/>
                <w:szCs w:val="21"/>
              </w:rPr>
              <w:t>线龙泉段垃圾清运</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ascii="仿宋_GB2312" w:hAnsi="仿宋_GB2312" w:eastAsia="仿宋_GB2312" w:cs="仿宋_GB2312"/>
                <w:color w:val="000000"/>
                <w:kern w:val="0"/>
                <w:szCs w:val="21"/>
              </w:rPr>
              <w:t>38%</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财政资金紧张</w:t>
            </w:r>
          </w:p>
        </w:tc>
      </w:tr>
      <w:tr>
        <w:tblPrEx>
          <w:tblCellMar>
            <w:top w:w="0" w:type="dxa"/>
            <w:left w:w="0" w:type="dxa"/>
            <w:bottom w:w="0" w:type="dxa"/>
            <w:right w:w="0" w:type="dxa"/>
          </w:tblCellMar>
        </w:tblPrEx>
        <w:trPr>
          <w:trHeight w:val="779" w:hRule="exact"/>
        </w:trPr>
        <w:tc>
          <w:tcPr>
            <w:tcW w:w="6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8</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发展新型农村集体经济“以奖代补”乡财政专项资金</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未完成</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项目未通过</w:t>
            </w:r>
          </w:p>
        </w:tc>
      </w:tr>
      <w:tr>
        <w:tblPrEx>
          <w:tblCellMar>
            <w:top w:w="0" w:type="dxa"/>
            <w:left w:w="0" w:type="dxa"/>
            <w:bottom w:w="0" w:type="dxa"/>
            <w:right w:w="0" w:type="dxa"/>
          </w:tblCellMar>
        </w:tblPrEx>
        <w:trPr>
          <w:trHeight w:val="716"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情况</w:t>
            </w:r>
          </w:p>
        </w:tc>
        <w:tc>
          <w:tcPr>
            <w:tcW w:w="25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年初</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预算数</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全年</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预算数</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实际执行数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执行率</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实际完成值发生偏差原因分析及改进措施</w:t>
            </w:r>
          </w:p>
        </w:tc>
      </w:tr>
      <w:tr>
        <w:tblPrEx>
          <w:tblCellMar>
            <w:top w:w="0" w:type="dxa"/>
            <w:left w:w="0" w:type="dxa"/>
            <w:bottom w:w="0" w:type="dxa"/>
            <w:right w:w="0" w:type="dxa"/>
          </w:tblCellMar>
        </w:tblPrEx>
        <w:trPr>
          <w:trHeight w:val="275"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部门预算总额（万元）</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2001</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2001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9470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乡村振兴路项目</w:t>
            </w:r>
          </w:p>
        </w:tc>
      </w:tr>
      <w:tr>
        <w:tblPrEx>
          <w:tblCellMar>
            <w:top w:w="0" w:type="dxa"/>
            <w:left w:w="0" w:type="dxa"/>
            <w:bottom w:w="0" w:type="dxa"/>
            <w:right w:w="0" w:type="dxa"/>
          </w:tblCellMar>
        </w:tblPrEx>
        <w:trPr>
          <w:trHeight w:val="3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资金来源：</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）财政性资金</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2001</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2001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）其他资金</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资金结构：</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）基本支出</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1399</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1399</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3010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4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）项目支出</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602</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602</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6460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430" w:hRule="atLeast"/>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一级指标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三级指标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指标值说明</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实际完成值</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13"/>
                <w:szCs w:val="13"/>
              </w:rPr>
              <w:t>实际完成值发生偏差原因分析及改进措施</w:t>
            </w:r>
          </w:p>
        </w:tc>
      </w:tr>
      <w:tr>
        <w:tblPrEx>
          <w:tblCellMar>
            <w:top w:w="0" w:type="dxa"/>
            <w:left w:w="0" w:type="dxa"/>
            <w:bottom w:w="0" w:type="dxa"/>
            <w:right w:w="0" w:type="dxa"/>
          </w:tblCellMar>
        </w:tblPrEx>
        <w:trPr>
          <w:trHeight w:val="715"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投入管理指标</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预算和财务管理</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预算执行率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95%</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预算执行率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（预算完成数</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预算数）×</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。预算完成数指部门实际执行的预算数；预算数指财政部门批复的本年度部门的（调整）预算数。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15"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结转结余率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ascii="宋体" w:cs="宋体"/>
                <w:color w:val="000000"/>
                <w:sz w:val="16"/>
                <w:szCs w:val="16"/>
              </w:rPr>
              <w:t>0</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结转结余率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结转结余总额</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预算数</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。结转结余总额是指部门本年度的结转结余资金之和。预算数是指财政部门批复的本年度部门的（调整）预算数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632"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“三公经费”控制率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99%</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“三公经费”控制率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本年度“三公经费”实际支出数</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“三公经费”预算数</w:t>
            </w:r>
            <w:r>
              <w:rPr>
                <w:rFonts w:ascii="仿宋_GB2312" w:hAnsi="仿宋_GB2312" w:eastAsia="仿宋_GB2312" w:cs="仿宋_GB2312"/>
                <w:color w:val="000000"/>
                <w:kern w:val="0"/>
                <w:sz w:val="13"/>
                <w:szCs w:val="13"/>
              </w:rPr>
              <w:t>*100%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70%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828"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政府采购</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执行率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90%</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政府采购执行率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（实际政府采购金额</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政府采购预算数）×</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。政府采购预算：采购机关根据事业发展计划和行政任务编制的、并经过规定程序批准的年度政府采购计划</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1378"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总分</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90</w:t>
            </w:r>
            <w:r>
              <w:rPr>
                <w:rFonts w:hint="eastAsia" w:ascii="仿宋_GB2312" w:hAnsi="仿宋_GB2312" w:eastAsia="仿宋_GB2312" w:cs="仿宋_GB2312"/>
                <w:color w:val="000000"/>
                <w:szCs w:val="21"/>
              </w:rPr>
              <w:t>分</w:t>
            </w:r>
          </w:p>
        </w:tc>
      </w:tr>
      <w:tr>
        <w:tblPrEx>
          <w:tblCellMar>
            <w:top w:w="0" w:type="dxa"/>
            <w:left w:w="0" w:type="dxa"/>
            <w:bottom w:w="0" w:type="dxa"/>
            <w:right w:w="0" w:type="dxa"/>
          </w:tblCellMar>
        </w:tblPrEx>
        <w:trPr>
          <w:trHeight w:val="2940"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 w:val="13"/>
                <w:szCs w:val="13"/>
              </w:rPr>
              <w:t>1.</w:t>
            </w:r>
            <w:r>
              <w:rPr>
                <w:rFonts w:hint="eastAsia" w:ascii="仿宋_GB2312" w:hAnsi="仿宋_GB2312" w:eastAsia="仿宋_GB2312" w:cs="仿宋_GB2312"/>
                <w:color w:val="000000"/>
                <w:kern w:val="0"/>
                <w:sz w:val="13"/>
                <w:szCs w:val="13"/>
              </w:rPr>
              <w:t>自评采取打分评价的形式，满分为</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分，按照附件</w:t>
            </w:r>
            <w:r>
              <w:rPr>
                <w:rFonts w:ascii="仿宋_GB2312" w:hAnsi="仿宋_GB2312" w:eastAsia="仿宋_GB2312" w:cs="仿宋_GB2312"/>
                <w:color w:val="000000"/>
                <w:kern w:val="0"/>
                <w:sz w:val="13"/>
                <w:szCs w:val="13"/>
              </w:rPr>
              <w:t>2</w:t>
            </w:r>
            <w:r>
              <w:rPr>
                <w:rFonts w:hint="eastAsia" w:ascii="仿宋_GB2312" w:hAnsi="仿宋_GB2312" w:eastAsia="仿宋_GB2312" w:cs="仿宋_GB2312"/>
                <w:color w:val="000000"/>
                <w:kern w:val="0"/>
                <w:sz w:val="13"/>
                <w:szCs w:val="13"/>
              </w:rPr>
              <w:t>打分表各项分值进行打分。</w:t>
            </w:r>
            <w:r>
              <w:rPr>
                <w:rFonts w:ascii="仿宋_GB2312" w:hAnsi="仿宋_GB2312" w:eastAsia="仿宋_GB2312" w:cs="仿宋_GB2312"/>
                <w:color w:val="000000"/>
                <w:kern w:val="0"/>
                <w:sz w:val="13"/>
                <w:szCs w:val="13"/>
              </w:rPr>
              <w:t xml:space="preserve">                                                                                                         2.</w:t>
            </w:r>
            <w:r>
              <w:rPr>
                <w:rFonts w:hint="eastAsia" w:ascii="仿宋_GB2312" w:hAnsi="仿宋_GB2312" w:eastAsia="仿宋_GB2312" w:cs="仿宋_GB2312"/>
                <w:color w:val="000000"/>
                <w:kern w:val="0"/>
                <w:sz w:val="13"/>
                <w:szCs w:val="13"/>
              </w:rPr>
              <w:t>实际完成值发生偏差原因分析及改进措施：说明偏离目标、不能完成目标的原因及拟采取的措施。</w:t>
            </w:r>
          </w:p>
        </w:tc>
      </w:tr>
      <w:tr>
        <w:tblPrEx>
          <w:tblCellMar>
            <w:top w:w="0" w:type="dxa"/>
            <w:left w:w="0" w:type="dxa"/>
            <w:bottom w:w="0" w:type="dxa"/>
            <w:right w:w="0" w:type="dxa"/>
          </w:tblCellMar>
        </w:tblPrEx>
        <w:trPr>
          <w:trHeight w:val="2690"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财政部门归口业务科室意见</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80" w:lineRule="exact"/>
              <w:jc w:val="center"/>
              <w:textAlignment w:val="bottom"/>
              <w:rPr>
                <w:rFonts w:hint="eastAsia" w:ascii="仿宋_GB2312" w:hAnsi="仿宋_GB2312" w:eastAsia="仿宋_GB2312" w:cs="仿宋_GB2312"/>
                <w:color w:val="000000"/>
                <w:kern w:val="0"/>
                <w:szCs w:val="21"/>
                <w:lang w:eastAsia="zh-CN"/>
              </w:rPr>
            </w:pP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财政部门归口业务科室负责人（签章）：</w:t>
            </w:r>
          </w:p>
          <w:p>
            <w:pPr>
              <w:widowControl/>
              <w:spacing w:line="280" w:lineRule="exact"/>
              <w:jc w:val="center"/>
              <w:textAlignment w:val="bottom"/>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 xml:space="preserve">                                                        </w:t>
            </w:r>
          </w:p>
          <w:p>
            <w:pPr>
              <w:widowControl/>
              <w:spacing w:line="280" w:lineRule="exact"/>
              <w:jc w:val="center"/>
              <w:textAlignment w:val="bottom"/>
              <w:rPr>
                <w:rFonts w:ascii="仿宋_GB2312" w:hAnsi="仿宋_GB2312" w:eastAsia="仿宋_GB2312" w:cs="仿宋_GB2312"/>
                <w:color w:val="000000"/>
                <w:szCs w:val="21"/>
              </w:rPr>
            </w:pP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年</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月</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日</w:t>
            </w:r>
          </w:p>
        </w:tc>
      </w:tr>
    </w:tbl>
    <w:p/>
    <w:p>
      <w:pPr>
        <w:spacing w:line="580" w:lineRule="exact"/>
        <w:rPr>
          <w:rFonts w:ascii="黑体" w:hAnsi="黑体" w:eastAsia="黑体"/>
          <w:sz w:val="32"/>
          <w:szCs w:val="32"/>
        </w:rPr>
      </w:pPr>
    </w:p>
    <w:p>
      <w:pPr>
        <w:spacing w:line="580" w:lineRule="exact"/>
        <w:rPr>
          <w:rFonts w:ascii="黑体" w:hAnsi="黑体" w:eastAsia="黑体"/>
          <w:sz w:val="32"/>
          <w:szCs w:val="32"/>
        </w:rPr>
      </w:pPr>
    </w:p>
    <w:p>
      <w:pPr>
        <w:pStyle w:val="2"/>
        <w:ind w:firstLine="0" w:firstLineChars="0"/>
        <w:rPr>
          <w:rFonts w:hint="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- 4 -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6"/>
    <w:rsid w:val="00010DC4"/>
    <w:rsid w:val="00011C6B"/>
    <w:rsid w:val="00011E0A"/>
    <w:rsid w:val="00016D69"/>
    <w:rsid w:val="00020ABA"/>
    <w:rsid w:val="000211AA"/>
    <w:rsid w:val="000306F8"/>
    <w:rsid w:val="00032648"/>
    <w:rsid w:val="00034FF9"/>
    <w:rsid w:val="0003582C"/>
    <w:rsid w:val="0003784C"/>
    <w:rsid w:val="000429B6"/>
    <w:rsid w:val="00043D47"/>
    <w:rsid w:val="000510F8"/>
    <w:rsid w:val="000607D2"/>
    <w:rsid w:val="00060B3C"/>
    <w:rsid w:val="00071CB0"/>
    <w:rsid w:val="00071DC5"/>
    <w:rsid w:val="00071E28"/>
    <w:rsid w:val="000757F8"/>
    <w:rsid w:val="00077342"/>
    <w:rsid w:val="00080E57"/>
    <w:rsid w:val="00081519"/>
    <w:rsid w:val="000830AA"/>
    <w:rsid w:val="00087713"/>
    <w:rsid w:val="0009089C"/>
    <w:rsid w:val="00090E8B"/>
    <w:rsid w:val="000937F3"/>
    <w:rsid w:val="00095E43"/>
    <w:rsid w:val="000A0586"/>
    <w:rsid w:val="000A4775"/>
    <w:rsid w:val="000A486B"/>
    <w:rsid w:val="000B6FB6"/>
    <w:rsid w:val="000C2F21"/>
    <w:rsid w:val="000C3137"/>
    <w:rsid w:val="000E1411"/>
    <w:rsid w:val="000E2979"/>
    <w:rsid w:val="000E596C"/>
    <w:rsid w:val="000E5D9F"/>
    <w:rsid w:val="000E6AE0"/>
    <w:rsid w:val="000E7403"/>
    <w:rsid w:val="000F022A"/>
    <w:rsid w:val="000F0D37"/>
    <w:rsid w:val="000F36C2"/>
    <w:rsid w:val="000F7A98"/>
    <w:rsid w:val="000F7B1E"/>
    <w:rsid w:val="001012E9"/>
    <w:rsid w:val="00105B36"/>
    <w:rsid w:val="0011033A"/>
    <w:rsid w:val="0011155B"/>
    <w:rsid w:val="00111BBA"/>
    <w:rsid w:val="00111BEA"/>
    <w:rsid w:val="00112DF4"/>
    <w:rsid w:val="00117822"/>
    <w:rsid w:val="001222D7"/>
    <w:rsid w:val="0012372B"/>
    <w:rsid w:val="00123F5D"/>
    <w:rsid w:val="00135D16"/>
    <w:rsid w:val="00141FCF"/>
    <w:rsid w:val="0014253E"/>
    <w:rsid w:val="00150EEA"/>
    <w:rsid w:val="00164F96"/>
    <w:rsid w:val="00165C69"/>
    <w:rsid w:val="00165EDE"/>
    <w:rsid w:val="00171BB7"/>
    <w:rsid w:val="00177F6F"/>
    <w:rsid w:val="00184BC8"/>
    <w:rsid w:val="00196EAA"/>
    <w:rsid w:val="001A7B90"/>
    <w:rsid w:val="001B0344"/>
    <w:rsid w:val="001B2693"/>
    <w:rsid w:val="001B30FF"/>
    <w:rsid w:val="001B6A36"/>
    <w:rsid w:val="001B7231"/>
    <w:rsid w:val="001B7249"/>
    <w:rsid w:val="001C211C"/>
    <w:rsid w:val="001C2B6A"/>
    <w:rsid w:val="001C3BA7"/>
    <w:rsid w:val="001C55DA"/>
    <w:rsid w:val="001D3399"/>
    <w:rsid w:val="001D4996"/>
    <w:rsid w:val="001E2628"/>
    <w:rsid w:val="001F1E13"/>
    <w:rsid w:val="00207907"/>
    <w:rsid w:val="0021226C"/>
    <w:rsid w:val="00216AFC"/>
    <w:rsid w:val="00217651"/>
    <w:rsid w:val="00220C4B"/>
    <w:rsid w:val="00224EC3"/>
    <w:rsid w:val="00234998"/>
    <w:rsid w:val="00235DEC"/>
    <w:rsid w:val="00240CDB"/>
    <w:rsid w:val="002419C6"/>
    <w:rsid w:val="00241D75"/>
    <w:rsid w:val="002459E7"/>
    <w:rsid w:val="002474F8"/>
    <w:rsid w:val="00251248"/>
    <w:rsid w:val="002556AC"/>
    <w:rsid w:val="00255EDC"/>
    <w:rsid w:val="00262E15"/>
    <w:rsid w:val="002650E6"/>
    <w:rsid w:val="00284B34"/>
    <w:rsid w:val="00293B5D"/>
    <w:rsid w:val="002A004C"/>
    <w:rsid w:val="002A025B"/>
    <w:rsid w:val="002A0BBA"/>
    <w:rsid w:val="002A44D7"/>
    <w:rsid w:val="002A721B"/>
    <w:rsid w:val="002B002B"/>
    <w:rsid w:val="002C1E68"/>
    <w:rsid w:val="002C252C"/>
    <w:rsid w:val="002C5A5D"/>
    <w:rsid w:val="002C7205"/>
    <w:rsid w:val="002D64B6"/>
    <w:rsid w:val="002D7D9F"/>
    <w:rsid w:val="002E2683"/>
    <w:rsid w:val="002F00DD"/>
    <w:rsid w:val="002F3E13"/>
    <w:rsid w:val="002F6D5C"/>
    <w:rsid w:val="003061C8"/>
    <w:rsid w:val="00321D56"/>
    <w:rsid w:val="00324911"/>
    <w:rsid w:val="003249F6"/>
    <w:rsid w:val="003361FD"/>
    <w:rsid w:val="00337188"/>
    <w:rsid w:val="0034630A"/>
    <w:rsid w:val="00351B6C"/>
    <w:rsid w:val="00354906"/>
    <w:rsid w:val="00356AC5"/>
    <w:rsid w:val="00370A57"/>
    <w:rsid w:val="00382359"/>
    <w:rsid w:val="00383B55"/>
    <w:rsid w:val="00383DC3"/>
    <w:rsid w:val="00386981"/>
    <w:rsid w:val="00396229"/>
    <w:rsid w:val="00396B15"/>
    <w:rsid w:val="003A25BB"/>
    <w:rsid w:val="003B14C1"/>
    <w:rsid w:val="003B482A"/>
    <w:rsid w:val="003B51C0"/>
    <w:rsid w:val="003B75EF"/>
    <w:rsid w:val="003C017C"/>
    <w:rsid w:val="003C5856"/>
    <w:rsid w:val="003D2EEB"/>
    <w:rsid w:val="003D4E5C"/>
    <w:rsid w:val="003E09D7"/>
    <w:rsid w:val="003E6249"/>
    <w:rsid w:val="003F524E"/>
    <w:rsid w:val="00406BED"/>
    <w:rsid w:val="00412525"/>
    <w:rsid w:val="0041352D"/>
    <w:rsid w:val="00414BC1"/>
    <w:rsid w:val="00416BB9"/>
    <w:rsid w:val="00432304"/>
    <w:rsid w:val="004339EB"/>
    <w:rsid w:val="00434795"/>
    <w:rsid w:val="0043590A"/>
    <w:rsid w:val="00436C1E"/>
    <w:rsid w:val="0044098A"/>
    <w:rsid w:val="00440AA2"/>
    <w:rsid w:val="00443775"/>
    <w:rsid w:val="00456210"/>
    <w:rsid w:val="00462E65"/>
    <w:rsid w:val="004746B4"/>
    <w:rsid w:val="0047706F"/>
    <w:rsid w:val="00482ACB"/>
    <w:rsid w:val="004867E2"/>
    <w:rsid w:val="0048689A"/>
    <w:rsid w:val="00493CD6"/>
    <w:rsid w:val="0049746B"/>
    <w:rsid w:val="00497855"/>
    <w:rsid w:val="004A15C7"/>
    <w:rsid w:val="004A2BE1"/>
    <w:rsid w:val="004B1142"/>
    <w:rsid w:val="004B130B"/>
    <w:rsid w:val="004C067A"/>
    <w:rsid w:val="004C3BB4"/>
    <w:rsid w:val="004D3F35"/>
    <w:rsid w:val="004E744E"/>
    <w:rsid w:val="004F2569"/>
    <w:rsid w:val="004F256D"/>
    <w:rsid w:val="00504DFD"/>
    <w:rsid w:val="005074F9"/>
    <w:rsid w:val="005116CF"/>
    <w:rsid w:val="005146DC"/>
    <w:rsid w:val="0051676E"/>
    <w:rsid w:val="00522A8D"/>
    <w:rsid w:val="005268F3"/>
    <w:rsid w:val="0053046F"/>
    <w:rsid w:val="005327AE"/>
    <w:rsid w:val="00532BB9"/>
    <w:rsid w:val="00535963"/>
    <w:rsid w:val="00540DE1"/>
    <w:rsid w:val="005427E6"/>
    <w:rsid w:val="00546270"/>
    <w:rsid w:val="00551F51"/>
    <w:rsid w:val="00556C53"/>
    <w:rsid w:val="005605E0"/>
    <w:rsid w:val="00571043"/>
    <w:rsid w:val="005721F5"/>
    <w:rsid w:val="00572F61"/>
    <w:rsid w:val="005808F4"/>
    <w:rsid w:val="00582DAF"/>
    <w:rsid w:val="00584872"/>
    <w:rsid w:val="00587BCC"/>
    <w:rsid w:val="00590048"/>
    <w:rsid w:val="005956FB"/>
    <w:rsid w:val="00597FA3"/>
    <w:rsid w:val="005A0483"/>
    <w:rsid w:val="005A0EF4"/>
    <w:rsid w:val="005A12E2"/>
    <w:rsid w:val="005A13C5"/>
    <w:rsid w:val="005A3C02"/>
    <w:rsid w:val="005A5170"/>
    <w:rsid w:val="005B6B5E"/>
    <w:rsid w:val="005D02AD"/>
    <w:rsid w:val="005D2042"/>
    <w:rsid w:val="005D377A"/>
    <w:rsid w:val="005D3851"/>
    <w:rsid w:val="005D59CC"/>
    <w:rsid w:val="005F0E19"/>
    <w:rsid w:val="005F0E9B"/>
    <w:rsid w:val="005F44D3"/>
    <w:rsid w:val="00610363"/>
    <w:rsid w:val="006233C7"/>
    <w:rsid w:val="00624716"/>
    <w:rsid w:val="00625381"/>
    <w:rsid w:val="00662337"/>
    <w:rsid w:val="00662CD5"/>
    <w:rsid w:val="00664578"/>
    <w:rsid w:val="00667373"/>
    <w:rsid w:val="00672108"/>
    <w:rsid w:val="0068128F"/>
    <w:rsid w:val="006825BE"/>
    <w:rsid w:val="0068456C"/>
    <w:rsid w:val="006937C1"/>
    <w:rsid w:val="00695FA7"/>
    <w:rsid w:val="006B0BB2"/>
    <w:rsid w:val="006B1651"/>
    <w:rsid w:val="006B1950"/>
    <w:rsid w:val="006B2BA6"/>
    <w:rsid w:val="006B4A83"/>
    <w:rsid w:val="006B670E"/>
    <w:rsid w:val="006B767D"/>
    <w:rsid w:val="006C31EC"/>
    <w:rsid w:val="006D1BE4"/>
    <w:rsid w:val="006D4747"/>
    <w:rsid w:val="006E130B"/>
    <w:rsid w:val="00701598"/>
    <w:rsid w:val="00706E1A"/>
    <w:rsid w:val="00710395"/>
    <w:rsid w:val="007330D8"/>
    <w:rsid w:val="00735AC3"/>
    <w:rsid w:val="00744EDF"/>
    <w:rsid w:val="007459CD"/>
    <w:rsid w:val="00746701"/>
    <w:rsid w:val="00752AE5"/>
    <w:rsid w:val="00756401"/>
    <w:rsid w:val="0076658B"/>
    <w:rsid w:val="00771C1C"/>
    <w:rsid w:val="00772F84"/>
    <w:rsid w:val="007800DA"/>
    <w:rsid w:val="00793817"/>
    <w:rsid w:val="00794B05"/>
    <w:rsid w:val="007975A3"/>
    <w:rsid w:val="007A0FE2"/>
    <w:rsid w:val="007A3AE5"/>
    <w:rsid w:val="007A5F41"/>
    <w:rsid w:val="007B0098"/>
    <w:rsid w:val="007C1B06"/>
    <w:rsid w:val="007C5725"/>
    <w:rsid w:val="007D2E26"/>
    <w:rsid w:val="007D7162"/>
    <w:rsid w:val="007D7630"/>
    <w:rsid w:val="007F0EAE"/>
    <w:rsid w:val="007F1456"/>
    <w:rsid w:val="007F1E49"/>
    <w:rsid w:val="007F6916"/>
    <w:rsid w:val="0081190F"/>
    <w:rsid w:val="00811955"/>
    <w:rsid w:val="008202C2"/>
    <w:rsid w:val="00820A24"/>
    <w:rsid w:val="00831568"/>
    <w:rsid w:val="00832E9D"/>
    <w:rsid w:val="00843751"/>
    <w:rsid w:val="00843E4F"/>
    <w:rsid w:val="00853085"/>
    <w:rsid w:val="00854C42"/>
    <w:rsid w:val="00874A2A"/>
    <w:rsid w:val="008833B7"/>
    <w:rsid w:val="008861A2"/>
    <w:rsid w:val="00887687"/>
    <w:rsid w:val="0089056C"/>
    <w:rsid w:val="00895004"/>
    <w:rsid w:val="00895560"/>
    <w:rsid w:val="00897F22"/>
    <w:rsid w:val="008A303E"/>
    <w:rsid w:val="008A358F"/>
    <w:rsid w:val="008B2988"/>
    <w:rsid w:val="008B3CC5"/>
    <w:rsid w:val="008B6CA8"/>
    <w:rsid w:val="008C1805"/>
    <w:rsid w:val="008D141F"/>
    <w:rsid w:val="008D704D"/>
    <w:rsid w:val="008E7846"/>
    <w:rsid w:val="008F5E44"/>
    <w:rsid w:val="009060CB"/>
    <w:rsid w:val="009124E9"/>
    <w:rsid w:val="00922C36"/>
    <w:rsid w:val="00924A9C"/>
    <w:rsid w:val="00925976"/>
    <w:rsid w:val="00930C54"/>
    <w:rsid w:val="00941DEE"/>
    <w:rsid w:val="009427C1"/>
    <w:rsid w:val="00942C7E"/>
    <w:rsid w:val="009511E3"/>
    <w:rsid w:val="009575D8"/>
    <w:rsid w:val="00960BBF"/>
    <w:rsid w:val="00962654"/>
    <w:rsid w:val="00963210"/>
    <w:rsid w:val="0096443D"/>
    <w:rsid w:val="00967AE6"/>
    <w:rsid w:val="0097099C"/>
    <w:rsid w:val="00972650"/>
    <w:rsid w:val="00972881"/>
    <w:rsid w:val="009761EA"/>
    <w:rsid w:val="00983BFD"/>
    <w:rsid w:val="00985A7E"/>
    <w:rsid w:val="00994676"/>
    <w:rsid w:val="009A473B"/>
    <w:rsid w:val="009A4F73"/>
    <w:rsid w:val="009B11CA"/>
    <w:rsid w:val="009B2852"/>
    <w:rsid w:val="009B567A"/>
    <w:rsid w:val="009C0BFF"/>
    <w:rsid w:val="009C2D07"/>
    <w:rsid w:val="009C35CD"/>
    <w:rsid w:val="009C3622"/>
    <w:rsid w:val="009D77E7"/>
    <w:rsid w:val="009E3A14"/>
    <w:rsid w:val="009E7EF7"/>
    <w:rsid w:val="00A022AA"/>
    <w:rsid w:val="00A04DA9"/>
    <w:rsid w:val="00A05AAF"/>
    <w:rsid w:val="00A148B0"/>
    <w:rsid w:val="00A27C41"/>
    <w:rsid w:val="00A34B1A"/>
    <w:rsid w:val="00A45268"/>
    <w:rsid w:val="00A50E9F"/>
    <w:rsid w:val="00A511D9"/>
    <w:rsid w:val="00A55646"/>
    <w:rsid w:val="00A571DD"/>
    <w:rsid w:val="00A608D8"/>
    <w:rsid w:val="00A62BB3"/>
    <w:rsid w:val="00A66326"/>
    <w:rsid w:val="00A766FA"/>
    <w:rsid w:val="00A87A2F"/>
    <w:rsid w:val="00A93B16"/>
    <w:rsid w:val="00A95F3B"/>
    <w:rsid w:val="00A965F9"/>
    <w:rsid w:val="00AA2E71"/>
    <w:rsid w:val="00AB071C"/>
    <w:rsid w:val="00AB15D5"/>
    <w:rsid w:val="00AB37BB"/>
    <w:rsid w:val="00AC12A6"/>
    <w:rsid w:val="00AC5843"/>
    <w:rsid w:val="00AD0627"/>
    <w:rsid w:val="00AD60C0"/>
    <w:rsid w:val="00AE4B7A"/>
    <w:rsid w:val="00AE6CE1"/>
    <w:rsid w:val="00B025FE"/>
    <w:rsid w:val="00B1750B"/>
    <w:rsid w:val="00B32680"/>
    <w:rsid w:val="00B374BA"/>
    <w:rsid w:val="00B375B5"/>
    <w:rsid w:val="00B415AD"/>
    <w:rsid w:val="00B4559E"/>
    <w:rsid w:val="00B47FBE"/>
    <w:rsid w:val="00B517FF"/>
    <w:rsid w:val="00B567B4"/>
    <w:rsid w:val="00B579F8"/>
    <w:rsid w:val="00B722AD"/>
    <w:rsid w:val="00B72DB0"/>
    <w:rsid w:val="00B838F1"/>
    <w:rsid w:val="00B87D58"/>
    <w:rsid w:val="00B955A7"/>
    <w:rsid w:val="00BA14BD"/>
    <w:rsid w:val="00BA33D5"/>
    <w:rsid w:val="00BB0D03"/>
    <w:rsid w:val="00BB10D4"/>
    <w:rsid w:val="00BB30FD"/>
    <w:rsid w:val="00BB7996"/>
    <w:rsid w:val="00BB7C3F"/>
    <w:rsid w:val="00BC2E2D"/>
    <w:rsid w:val="00BC5B4F"/>
    <w:rsid w:val="00BC61E1"/>
    <w:rsid w:val="00BD48E4"/>
    <w:rsid w:val="00BD5734"/>
    <w:rsid w:val="00BE2C28"/>
    <w:rsid w:val="00BE3482"/>
    <w:rsid w:val="00BE7815"/>
    <w:rsid w:val="00BF3493"/>
    <w:rsid w:val="00C218BF"/>
    <w:rsid w:val="00C307AE"/>
    <w:rsid w:val="00C41ED5"/>
    <w:rsid w:val="00C45B1E"/>
    <w:rsid w:val="00C45FC9"/>
    <w:rsid w:val="00C53825"/>
    <w:rsid w:val="00C54977"/>
    <w:rsid w:val="00C71B73"/>
    <w:rsid w:val="00C82A24"/>
    <w:rsid w:val="00C863A7"/>
    <w:rsid w:val="00C93958"/>
    <w:rsid w:val="00C94803"/>
    <w:rsid w:val="00C9489D"/>
    <w:rsid w:val="00C95923"/>
    <w:rsid w:val="00CA48EC"/>
    <w:rsid w:val="00CA7E0A"/>
    <w:rsid w:val="00CB16D3"/>
    <w:rsid w:val="00CB1BC1"/>
    <w:rsid w:val="00CB2522"/>
    <w:rsid w:val="00CB35C9"/>
    <w:rsid w:val="00CC022C"/>
    <w:rsid w:val="00CD7D96"/>
    <w:rsid w:val="00CE1B25"/>
    <w:rsid w:val="00CE4C52"/>
    <w:rsid w:val="00CE5325"/>
    <w:rsid w:val="00CE75ED"/>
    <w:rsid w:val="00CF37ED"/>
    <w:rsid w:val="00CF4553"/>
    <w:rsid w:val="00D011AC"/>
    <w:rsid w:val="00D01649"/>
    <w:rsid w:val="00D058F8"/>
    <w:rsid w:val="00D16949"/>
    <w:rsid w:val="00D17F0D"/>
    <w:rsid w:val="00D26F44"/>
    <w:rsid w:val="00D41F8E"/>
    <w:rsid w:val="00D52113"/>
    <w:rsid w:val="00D5681A"/>
    <w:rsid w:val="00D60797"/>
    <w:rsid w:val="00D624A1"/>
    <w:rsid w:val="00D634C5"/>
    <w:rsid w:val="00D63BEA"/>
    <w:rsid w:val="00D671D6"/>
    <w:rsid w:val="00D72BEC"/>
    <w:rsid w:val="00D774CD"/>
    <w:rsid w:val="00D85110"/>
    <w:rsid w:val="00D85F2B"/>
    <w:rsid w:val="00D95AA9"/>
    <w:rsid w:val="00D97E7B"/>
    <w:rsid w:val="00DA7E1D"/>
    <w:rsid w:val="00DB63E7"/>
    <w:rsid w:val="00DC5E67"/>
    <w:rsid w:val="00DD03B3"/>
    <w:rsid w:val="00DD292B"/>
    <w:rsid w:val="00DD2B38"/>
    <w:rsid w:val="00DE735C"/>
    <w:rsid w:val="00DF5D42"/>
    <w:rsid w:val="00DF73A1"/>
    <w:rsid w:val="00DF7901"/>
    <w:rsid w:val="00E078C2"/>
    <w:rsid w:val="00E15A9A"/>
    <w:rsid w:val="00E16617"/>
    <w:rsid w:val="00E23365"/>
    <w:rsid w:val="00E2492E"/>
    <w:rsid w:val="00E43EC4"/>
    <w:rsid w:val="00E504F3"/>
    <w:rsid w:val="00E601A2"/>
    <w:rsid w:val="00E6248C"/>
    <w:rsid w:val="00E7013F"/>
    <w:rsid w:val="00E74548"/>
    <w:rsid w:val="00E750DA"/>
    <w:rsid w:val="00E77654"/>
    <w:rsid w:val="00E77C19"/>
    <w:rsid w:val="00E812B9"/>
    <w:rsid w:val="00E81AC4"/>
    <w:rsid w:val="00E84D20"/>
    <w:rsid w:val="00E87418"/>
    <w:rsid w:val="00E90E7B"/>
    <w:rsid w:val="00E916F9"/>
    <w:rsid w:val="00E91882"/>
    <w:rsid w:val="00E947E3"/>
    <w:rsid w:val="00E94AFE"/>
    <w:rsid w:val="00EA185E"/>
    <w:rsid w:val="00EA2E3F"/>
    <w:rsid w:val="00EA3286"/>
    <w:rsid w:val="00EA608B"/>
    <w:rsid w:val="00EC3D76"/>
    <w:rsid w:val="00EC4409"/>
    <w:rsid w:val="00EC44F0"/>
    <w:rsid w:val="00EE239D"/>
    <w:rsid w:val="00EE36B2"/>
    <w:rsid w:val="00EF1E53"/>
    <w:rsid w:val="00F01DEE"/>
    <w:rsid w:val="00F03A0A"/>
    <w:rsid w:val="00F12D56"/>
    <w:rsid w:val="00F13413"/>
    <w:rsid w:val="00F1478D"/>
    <w:rsid w:val="00F2458E"/>
    <w:rsid w:val="00F33A54"/>
    <w:rsid w:val="00F366BC"/>
    <w:rsid w:val="00F37372"/>
    <w:rsid w:val="00F41ED6"/>
    <w:rsid w:val="00F4217A"/>
    <w:rsid w:val="00F44A90"/>
    <w:rsid w:val="00F557F8"/>
    <w:rsid w:val="00F63BCA"/>
    <w:rsid w:val="00F64A04"/>
    <w:rsid w:val="00F67B66"/>
    <w:rsid w:val="00F725AA"/>
    <w:rsid w:val="00F76C08"/>
    <w:rsid w:val="00F877BA"/>
    <w:rsid w:val="00F911BE"/>
    <w:rsid w:val="00F91BA4"/>
    <w:rsid w:val="00F924C5"/>
    <w:rsid w:val="00F933E1"/>
    <w:rsid w:val="00FB4055"/>
    <w:rsid w:val="00FB7261"/>
    <w:rsid w:val="00FC1651"/>
    <w:rsid w:val="00FC2EEB"/>
    <w:rsid w:val="00FC4FB3"/>
    <w:rsid w:val="00FD1967"/>
    <w:rsid w:val="00FE0674"/>
    <w:rsid w:val="00FE3F9A"/>
    <w:rsid w:val="00FE5DC3"/>
    <w:rsid w:val="00FE6E01"/>
    <w:rsid w:val="00FF020D"/>
    <w:rsid w:val="00FF1102"/>
    <w:rsid w:val="018031B4"/>
    <w:rsid w:val="01EB3DCB"/>
    <w:rsid w:val="01FF79D4"/>
    <w:rsid w:val="02011042"/>
    <w:rsid w:val="02173CD8"/>
    <w:rsid w:val="025829D3"/>
    <w:rsid w:val="026D3667"/>
    <w:rsid w:val="029C627F"/>
    <w:rsid w:val="03BC3C86"/>
    <w:rsid w:val="03DF3BF8"/>
    <w:rsid w:val="03E07EF8"/>
    <w:rsid w:val="05097AD0"/>
    <w:rsid w:val="05B37139"/>
    <w:rsid w:val="076619F3"/>
    <w:rsid w:val="078665DA"/>
    <w:rsid w:val="07CC2AB2"/>
    <w:rsid w:val="07D56789"/>
    <w:rsid w:val="07E340D4"/>
    <w:rsid w:val="07E358B5"/>
    <w:rsid w:val="07F90905"/>
    <w:rsid w:val="08545DBA"/>
    <w:rsid w:val="086951D8"/>
    <w:rsid w:val="08B92C0A"/>
    <w:rsid w:val="08D734BE"/>
    <w:rsid w:val="091A12D9"/>
    <w:rsid w:val="09E00231"/>
    <w:rsid w:val="0A006922"/>
    <w:rsid w:val="0A277019"/>
    <w:rsid w:val="0A7403FE"/>
    <w:rsid w:val="0A871DF4"/>
    <w:rsid w:val="0AA242CC"/>
    <w:rsid w:val="0B441E89"/>
    <w:rsid w:val="0B544877"/>
    <w:rsid w:val="0B6F5CC0"/>
    <w:rsid w:val="0B736CA8"/>
    <w:rsid w:val="0B982361"/>
    <w:rsid w:val="0BE71C49"/>
    <w:rsid w:val="0C0E0669"/>
    <w:rsid w:val="0C206793"/>
    <w:rsid w:val="0CD0150D"/>
    <w:rsid w:val="0CE12A2C"/>
    <w:rsid w:val="0D35556C"/>
    <w:rsid w:val="0D89713B"/>
    <w:rsid w:val="0DD65291"/>
    <w:rsid w:val="0DD9535E"/>
    <w:rsid w:val="0E1032A1"/>
    <w:rsid w:val="0E555D0E"/>
    <w:rsid w:val="0E73484C"/>
    <w:rsid w:val="0EFA7BF7"/>
    <w:rsid w:val="0F4D5807"/>
    <w:rsid w:val="0FF36648"/>
    <w:rsid w:val="10B0339F"/>
    <w:rsid w:val="10DB68A4"/>
    <w:rsid w:val="115C26B2"/>
    <w:rsid w:val="122D0B62"/>
    <w:rsid w:val="12AE2489"/>
    <w:rsid w:val="12C3573B"/>
    <w:rsid w:val="131C29E9"/>
    <w:rsid w:val="13586992"/>
    <w:rsid w:val="136A3908"/>
    <w:rsid w:val="139C3E08"/>
    <w:rsid w:val="13D0721F"/>
    <w:rsid w:val="141231B9"/>
    <w:rsid w:val="14640F8D"/>
    <w:rsid w:val="148C1946"/>
    <w:rsid w:val="14BD36BB"/>
    <w:rsid w:val="15B760EC"/>
    <w:rsid w:val="166E3004"/>
    <w:rsid w:val="168D53D3"/>
    <w:rsid w:val="1696199B"/>
    <w:rsid w:val="17006E11"/>
    <w:rsid w:val="17E92132"/>
    <w:rsid w:val="17F34800"/>
    <w:rsid w:val="180F2B83"/>
    <w:rsid w:val="18B67022"/>
    <w:rsid w:val="18D97470"/>
    <w:rsid w:val="194C3156"/>
    <w:rsid w:val="19A26C4D"/>
    <w:rsid w:val="19AF5431"/>
    <w:rsid w:val="1A024FCA"/>
    <w:rsid w:val="1A035ADA"/>
    <w:rsid w:val="1B2A26F6"/>
    <w:rsid w:val="1B95793F"/>
    <w:rsid w:val="1BA210E4"/>
    <w:rsid w:val="1C4624DC"/>
    <w:rsid w:val="1C5364D7"/>
    <w:rsid w:val="1C655B38"/>
    <w:rsid w:val="1CD414AF"/>
    <w:rsid w:val="1DBE5A27"/>
    <w:rsid w:val="1DFE6DBD"/>
    <w:rsid w:val="1F3A3D5A"/>
    <w:rsid w:val="1FAF2908"/>
    <w:rsid w:val="20482CF0"/>
    <w:rsid w:val="206E0041"/>
    <w:rsid w:val="20F15406"/>
    <w:rsid w:val="219F763E"/>
    <w:rsid w:val="21D817B0"/>
    <w:rsid w:val="22307BA6"/>
    <w:rsid w:val="22521472"/>
    <w:rsid w:val="22F8166B"/>
    <w:rsid w:val="235F3D44"/>
    <w:rsid w:val="23670566"/>
    <w:rsid w:val="23CE38F2"/>
    <w:rsid w:val="25633CE3"/>
    <w:rsid w:val="25634B0D"/>
    <w:rsid w:val="25773B1F"/>
    <w:rsid w:val="25EB7DCF"/>
    <w:rsid w:val="264F69D4"/>
    <w:rsid w:val="26B146DB"/>
    <w:rsid w:val="26CD395A"/>
    <w:rsid w:val="26D931E6"/>
    <w:rsid w:val="26E92BE5"/>
    <w:rsid w:val="26FA7F6D"/>
    <w:rsid w:val="27054110"/>
    <w:rsid w:val="27910BCE"/>
    <w:rsid w:val="27A41262"/>
    <w:rsid w:val="27CF3361"/>
    <w:rsid w:val="282F606F"/>
    <w:rsid w:val="28545BE0"/>
    <w:rsid w:val="28AC715A"/>
    <w:rsid w:val="28DE010E"/>
    <w:rsid w:val="28E00DC4"/>
    <w:rsid w:val="292E6099"/>
    <w:rsid w:val="293A3EB3"/>
    <w:rsid w:val="2ADD2457"/>
    <w:rsid w:val="2B152FE0"/>
    <w:rsid w:val="2B5C5632"/>
    <w:rsid w:val="2B8F311E"/>
    <w:rsid w:val="2C55584A"/>
    <w:rsid w:val="2C5B21C1"/>
    <w:rsid w:val="2D21248D"/>
    <w:rsid w:val="2D705CED"/>
    <w:rsid w:val="2E6E364A"/>
    <w:rsid w:val="2E755DE4"/>
    <w:rsid w:val="2E9467B8"/>
    <w:rsid w:val="2EA07635"/>
    <w:rsid w:val="2F0B5B3E"/>
    <w:rsid w:val="2F2D4FF3"/>
    <w:rsid w:val="2FAF317B"/>
    <w:rsid w:val="2FBB395D"/>
    <w:rsid w:val="31290D56"/>
    <w:rsid w:val="315B4A39"/>
    <w:rsid w:val="31982F54"/>
    <w:rsid w:val="3217755A"/>
    <w:rsid w:val="32211AFF"/>
    <w:rsid w:val="324A79CA"/>
    <w:rsid w:val="325F5ACC"/>
    <w:rsid w:val="32AB2982"/>
    <w:rsid w:val="339460BA"/>
    <w:rsid w:val="33A132C4"/>
    <w:rsid w:val="33C92D71"/>
    <w:rsid w:val="340052B9"/>
    <w:rsid w:val="343A6BD7"/>
    <w:rsid w:val="35476394"/>
    <w:rsid w:val="35F34459"/>
    <w:rsid w:val="36213DB0"/>
    <w:rsid w:val="363B2462"/>
    <w:rsid w:val="366452AE"/>
    <w:rsid w:val="36875A52"/>
    <w:rsid w:val="36B940C2"/>
    <w:rsid w:val="36C94AF7"/>
    <w:rsid w:val="37A278DD"/>
    <w:rsid w:val="37B53ADE"/>
    <w:rsid w:val="38682A90"/>
    <w:rsid w:val="38C22D01"/>
    <w:rsid w:val="38C7151A"/>
    <w:rsid w:val="39B01D29"/>
    <w:rsid w:val="39B52E12"/>
    <w:rsid w:val="39CD2AA8"/>
    <w:rsid w:val="39FB747C"/>
    <w:rsid w:val="3AAF1854"/>
    <w:rsid w:val="3B1834E2"/>
    <w:rsid w:val="3B523450"/>
    <w:rsid w:val="3B6301BF"/>
    <w:rsid w:val="3B6638AC"/>
    <w:rsid w:val="3B6D5535"/>
    <w:rsid w:val="3C212A93"/>
    <w:rsid w:val="3CF070C2"/>
    <w:rsid w:val="3D2F04E0"/>
    <w:rsid w:val="3D351B7B"/>
    <w:rsid w:val="3D687E84"/>
    <w:rsid w:val="3DA9774B"/>
    <w:rsid w:val="3DF42A9C"/>
    <w:rsid w:val="3F524982"/>
    <w:rsid w:val="405067C3"/>
    <w:rsid w:val="415F5314"/>
    <w:rsid w:val="41A62B48"/>
    <w:rsid w:val="424F4F0D"/>
    <w:rsid w:val="42770372"/>
    <w:rsid w:val="42C7187D"/>
    <w:rsid w:val="42FA5BB9"/>
    <w:rsid w:val="43BB0FE1"/>
    <w:rsid w:val="43F87033"/>
    <w:rsid w:val="445613CA"/>
    <w:rsid w:val="44845846"/>
    <w:rsid w:val="45FB54F6"/>
    <w:rsid w:val="460D01D1"/>
    <w:rsid w:val="468A3DC6"/>
    <w:rsid w:val="46930058"/>
    <w:rsid w:val="46970B40"/>
    <w:rsid w:val="474B474B"/>
    <w:rsid w:val="47561D8E"/>
    <w:rsid w:val="47A8707B"/>
    <w:rsid w:val="48BC1737"/>
    <w:rsid w:val="496365AD"/>
    <w:rsid w:val="49CA591C"/>
    <w:rsid w:val="4A013A78"/>
    <w:rsid w:val="4A70372C"/>
    <w:rsid w:val="4A8064D2"/>
    <w:rsid w:val="4A9D4F1B"/>
    <w:rsid w:val="4BB61866"/>
    <w:rsid w:val="4C226336"/>
    <w:rsid w:val="4C4E2F2C"/>
    <w:rsid w:val="4C586F9C"/>
    <w:rsid w:val="4C893CC4"/>
    <w:rsid w:val="4CF15D4A"/>
    <w:rsid w:val="4DEB17E5"/>
    <w:rsid w:val="4E120A65"/>
    <w:rsid w:val="4E316745"/>
    <w:rsid w:val="4EA9561A"/>
    <w:rsid w:val="4EB90B59"/>
    <w:rsid w:val="4F6D6303"/>
    <w:rsid w:val="4FC46DEE"/>
    <w:rsid w:val="4FFF2E61"/>
    <w:rsid w:val="500031A2"/>
    <w:rsid w:val="500F399D"/>
    <w:rsid w:val="50C566DC"/>
    <w:rsid w:val="50ED1946"/>
    <w:rsid w:val="51034ACB"/>
    <w:rsid w:val="5258410A"/>
    <w:rsid w:val="52B424C8"/>
    <w:rsid w:val="5317423F"/>
    <w:rsid w:val="533955E7"/>
    <w:rsid w:val="53AC403E"/>
    <w:rsid w:val="53C053DE"/>
    <w:rsid w:val="54113878"/>
    <w:rsid w:val="54A808F4"/>
    <w:rsid w:val="54BF0B57"/>
    <w:rsid w:val="55F214E1"/>
    <w:rsid w:val="561F4B77"/>
    <w:rsid w:val="5682523D"/>
    <w:rsid w:val="56CA6359"/>
    <w:rsid w:val="56E63222"/>
    <w:rsid w:val="56EB2E7E"/>
    <w:rsid w:val="5704546A"/>
    <w:rsid w:val="57630B82"/>
    <w:rsid w:val="577D6981"/>
    <w:rsid w:val="57CB27B6"/>
    <w:rsid w:val="57ED6202"/>
    <w:rsid w:val="582D3555"/>
    <w:rsid w:val="58CF3052"/>
    <w:rsid w:val="58E1696D"/>
    <w:rsid w:val="59F50AA6"/>
    <w:rsid w:val="5A4178A0"/>
    <w:rsid w:val="5A567846"/>
    <w:rsid w:val="5A5B746F"/>
    <w:rsid w:val="5B40127F"/>
    <w:rsid w:val="5BE6202A"/>
    <w:rsid w:val="5C1F35AE"/>
    <w:rsid w:val="5C5B4D51"/>
    <w:rsid w:val="5CA57C91"/>
    <w:rsid w:val="5CA66A47"/>
    <w:rsid w:val="5D3F34C2"/>
    <w:rsid w:val="5D9B3D9F"/>
    <w:rsid w:val="5E324D09"/>
    <w:rsid w:val="5E9B2A4C"/>
    <w:rsid w:val="5F033920"/>
    <w:rsid w:val="5F271C25"/>
    <w:rsid w:val="5FD677FC"/>
    <w:rsid w:val="5FE307E1"/>
    <w:rsid w:val="5FF44EB2"/>
    <w:rsid w:val="608E4E08"/>
    <w:rsid w:val="610B3A4D"/>
    <w:rsid w:val="61337E10"/>
    <w:rsid w:val="62865532"/>
    <w:rsid w:val="62C926BF"/>
    <w:rsid w:val="63840A16"/>
    <w:rsid w:val="63AA087F"/>
    <w:rsid w:val="63E54A90"/>
    <w:rsid w:val="644A70AE"/>
    <w:rsid w:val="657448D6"/>
    <w:rsid w:val="65877749"/>
    <w:rsid w:val="659E3A39"/>
    <w:rsid w:val="65B343EF"/>
    <w:rsid w:val="65E103A0"/>
    <w:rsid w:val="66A12310"/>
    <w:rsid w:val="66D90DD5"/>
    <w:rsid w:val="670A32CA"/>
    <w:rsid w:val="670F7F24"/>
    <w:rsid w:val="6795382F"/>
    <w:rsid w:val="67FC7784"/>
    <w:rsid w:val="67FD1DAB"/>
    <w:rsid w:val="68895C54"/>
    <w:rsid w:val="68B74F4C"/>
    <w:rsid w:val="69736AF8"/>
    <w:rsid w:val="69F07480"/>
    <w:rsid w:val="6ADF78E5"/>
    <w:rsid w:val="6AEA7748"/>
    <w:rsid w:val="6B235329"/>
    <w:rsid w:val="6B5A24DD"/>
    <w:rsid w:val="6B826972"/>
    <w:rsid w:val="6BC978FA"/>
    <w:rsid w:val="6BCD0442"/>
    <w:rsid w:val="6BF61D6E"/>
    <w:rsid w:val="6C1D023D"/>
    <w:rsid w:val="6C5C4853"/>
    <w:rsid w:val="6D8554D8"/>
    <w:rsid w:val="6D8963A6"/>
    <w:rsid w:val="6D8C29C6"/>
    <w:rsid w:val="6EA53FA2"/>
    <w:rsid w:val="6EC02AFE"/>
    <w:rsid w:val="6F206C6C"/>
    <w:rsid w:val="6F911E8E"/>
    <w:rsid w:val="6F9C3FBF"/>
    <w:rsid w:val="70383082"/>
    <w:rsid w:val="704C0310"/>
    <w:rsid w:val="707F2388"/>
    <w:rsid w:val="70F16F8C"/>
    <w:rsid w:val="7108097C"/>
    <w:rsid w:val="716D33D6"/>
    <w:rsid w:val="717B532E"/>
    <w:rsid w:val="72005413"/>
    <w:rsid w:val="720127AF"/>
    <w:rsid w:val="72062E2B"/>
    <w:rsid w:val="721151DB"/>
    <w:rsid w:val="725877B9"/>
    <w:rsid w:val="72707B51"/>
    <w:rsid w:val="72DF7858"/>
    <w:rsid w:val="72E63151"/>
    <w:rsid w:val="72F324F2"/>
    <w:rsid w:val="731167BE"/>
    <w:rsid w:val="731C26AC"/>
    <w:rsid w:val="7353174F"/>
    <w:rsid w:val="73756D54"/>
    <w:rsid w:val="73B86E5B"/>
    <w:rsid w:val="73BA1390"/>
    <w:rsid w:val="740F49BF"/>
    <w:rsid w:val="742A39D2"/>
    <w:rsid w:val="74E27488"/>
    <w:rsid w:val="74F20848"/>
    <w:rsid w:val="75AD1610"/>
    <w:rsid w:val="75D45B87"/>
    <w:rsid w:val="75ED3231"/>
    <w:rsid w:val="766552BB"/>
    <w:rsid w:val="76A22332"/>
    <w:rsid w:val="778A2B2C"/>
    <w:rsid w:val="786060C7"/>
    <w:rsid w:val="789B417E"/>
    <w:rsid w:val="78DA7DB2"/>
    <w:rsid w:val="78E7145C"/>
    <w:rsid w:val="794C2E09"/>
    <w:rsid w:val="7995527F"/>
    <w:rsid w:val="79CC7F63"/>
    <w:rsid w:val="79F13373"/>
    <w:rsid w:val="7A3869AC"/>
    <w:rsid w:val="7A4C5C99"/>
    <w:rsid w:val="7AB750FF"/>
    <w:rsid w:val="7AC9743F"/>
    <w:rsid w:val="7AFA419B"/>
    <w:rsid w:val="7B074467"/>
    <w:rsid w:val="7B416010"/>
    <w:rsid w:val="7B6309DB"/>
    <w:rsid w:val="7BC97487"/>
    <w:rsid w:val="7C0E49C3"/>
    <w:rsid w:val="7C1E61E4"/>
    <w:rsid w:val="7C2F2D00"/>
    <w:rsid w:val="7C8D2AA9"/>
    <w:rsid w:val="7CCB1C14"/>
    <w:rsid w:val="7D795DCB"/>
    <w:rsid w:val="7DBB4950"/>
    <w:rsid w:val="7DBD315A"/>
    <w:rsid w:val="7DC42C01"/>
    <w:rsid w:val="7E10079E"/>
    <w:rsid w:val="7E4B076C"/>
    <w:rsid w:val="7E6269A5"/>
    <w:rsid w:val="7E9D29E2"/>
    <w:rsid w:val="7F123A02"/>
    <w:rsid w:val="7FC630BA"/>
    <w:rsid w:val="7FDC5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rPr>
      <w:sz w:val="32"/>
    </w:rPr>
  </w:style>
  <w:style w:type="paragraph" w:styleId="4">
    <w:name w:val="Balloon Text"/>
    <w:basedOn w:val="1"/>
    <w:link w:val="12"/>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unhideWhenUsed/>
    <w:qFormat/>
    <w:uiPriority w:val="0"/>
    <w:rPr>
      <w:color w:val="0000FF"/>
      <w:u w:val="single"/>
    </w:rPr>
  </w:style>
  <w:style w:type="character" w:customStyle="1" w:styleId="12">
    <w:name w:val=" Char Char"/>
    <w:link w:val="4"/>
    <w:qFormat/>
    <w:uiPriority w:val="0"/>
    <w:rPr>
      <w:kern w:val="2"/>
      <w:sz w:val="18"/>
      <w:szCs w:val="18"/>
    </w:rPr>
  </w:style>
  <w:style w:type="paragraph" w:customStyle="1" w:styleId="13">
    <w:name w:val="列出段落"/>
    <w:basedOn w:val="1"/>
    <w:qFormat/>
    <w:uiPriority w:val="34"/>
    <w:pPr>
      <w:ind w:firstLine="420" w:firstLineChars="200"/>
    </w:pPr>
    <w:rPr>
      <w:rFonts w:ascii="Calibri" w:hAnsi="Calibri" w:eastAsia="宋体" w:cs="Times New Roman"/>
      <w:szCs w:val="22"/>
    </w:rPr>
  </w:style>
  <w:style w:type="paragraph" w:customStyle="1" w:styleId="14">
    <w:name w:val="p16"/>
    <w:basedOn w:val="1"/>
    <w:qFormat/>
    <w:uiPriority w:val="0"/>
    <w:pPr>
      <w:widowControl/>
      <w:ind w:firstLine="420"/>
    </w:pPr>
    <w:rPr>
      <w:kern w:val="0"/>
      <w:sz w:val="32"/>
      <w:szCs w:val="3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4068</Words>
  <Characters>4562</Characters>
  <Lines>39</Lines>
  <Paragraphs>11</Paragraphs>
  <TotalTime>0</TotalTime>
  <ScaleCrop>false</ScaleCrop>
  <LinksUpToDate>false</LinksUpToDate>
  <CharactersWithSpaces>5013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2018-07-15T09:05:00Z</dcterms:created>
  <dc:creator>My</dc:creator>
  <cp:lastModifiedBy>Administrator</cp:lastModifiedBy>
  <cp:lastPrinted>2019-07-27T06:27:00Z</cp:lastPrinted>
  <dcterms:modified xsi:type="dcterms:W3CDTF">2022-09-30T09:21:41Z</dcterms:modified>
  <dc:title>关于龙安区2014年财政决算（草案）和</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468A5DFE671143AF9308765B040AE088</vt:lpwstr>
  </property>
</Properties>
</file>