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宋体"/>
          <w:sz w:val="44"/>
          <w:szCs w:val="44"/>
        </w:rPr>
      </w:pPr>
      <w:r>
        <w:rPr>
          <w:rFonts w:hint="eastAsia" w:ascii="黑体" w:hAnsi="黑体" w:eastAsia="黑体" w:cs="宋体"/>
          <w:sz w:val="44"/>
          <w:szCs w:val="44"/>
          <w:lang w:eastAsia="zh-CN"/>
        </w:rPr>
        <w:t>地市级全民健康信息</w:t>
      </w:r>
      <w:r>
        <w:rPr>
          <w:rFonts w:hint="eastAsia" w:ascii="黑体" w:hAnsi="黑体" w:eastAsia="黑体" w:cs="宋体"/>
          <w:sz w:val="44"/>
          <w:szCs w:val="44"/>
        </w:rPr>
        <w:t>平台数据上传</w:t>
      </w:r>
    </w:p>
    <w:p>
      <w:pPr>
        <w:jc w:val="center"/>
        <w:rPr>
          <w:rFonts w:ascii="黑体" w:hAnsi="黑体" w:eastAsia="黑体" w:cs="宋体"/>
          <w:sz w:val="44"/>
          <w:szCs w:val="44"/>
        </w:rPr>
      </w:pPr>
      <w:r>
        <w:rPr>
          <w:rFonts w:hint="eastAsia" w:ascii="黑体" w:hAnsi="黑体" w:eastAsia="黑体" w:cs="宋体"/>
          <w:sz w:val="44"/>
          <w:szCs w:val="44"/>
        </w:rPr>
        <w:t>管理规范</w:t>
      </w:r>
    </w:p>
    <w:p>
      <w:pPr>
        <w:rPr>
          <w:rFonts w:ascii="宋体" w:hAnsi="宋体" w:eastAsia="宋体" w:cs="宋体"/>
          <w:sz w:val="28"/>
          <w:szCs w:val="28"/>
        </w:rPr>
      </w:pPr>
      <w:bookmarkStart w:id="0" w:name="_GoBack"/>
      <w:bookmarkEnd w:id="0"/>
    </w:p>
    <w:p>
      <w:pPr>
        <w:numPr>
          <w:ilvl w:val="0"/>
          <w:numId w:val="1"/>
        </w:numPr>
        <w:spacing w:before="156" w:beforeLines="50" w:after="156" w:afterLines="50"/>
        <w:outlineLvl w:val="0"/>
        <w:rPr>
          <w:rFonts w:ascii="黑体" w:hAnsi="黑体" w:eastAsia="黑体" w:cs="黑体"/>
          <w:sz w:val="32"/>
          <w:szCs w:val="32"/>
        </w:rPr>
      </w:pPr>
      <w:r>
        <w:rPr>
          <w:rFonts w:hint="eastAsia" w:ascii="黑体" w:hAnsi="黑体" w:eastAsia="黑体" w:cs="黑体"/>
          <w:sz w:val="32"/>
          <w:szCs w:val="32"/>
        </w:rPr>
        <w:t>医院数据上传要求</w:t>
      </w:r>
    </w:p>
    <w:p>
      <w:pPr>
        <w:ind w:firstLine="640" w:firstLineChars="200"/>
        <w:rPr>
          <w:rFonts w:hint="eastAsia" w:ascii="仿宋_GB2312" w:hAnsi="华文中宋" w:eastAsia="仿宋_GB2312" w:cs="Times New Roman"/>
          <w:kern w:val="2"/>
          <w:sz w:val="32"/>
          <w:szCs w:val="32"/>
          <w:lang w:val="en-US" w:eastAsia="zh-CN" w:bidi="ar"/>
        </w:rPr>
      </w:pPr>
      <w:r>
        <w:rPr>
          <w:rFonts w:hint="eastAsia" w:ascii="仿宋_GB2312" w:hAnsi="华文中宋" w:eastAsia="仿宋_GB2312" w:cs="Times New Roman"/>
          <w:kern w:val="2"/>
          <w:sz w:val="32"/>
          <w:szCs w:val="32"/>
          <w:lang w:val="en-US" w:eastAsia="zh-CN" w:bidi="ar"/>
        </w:rPr>
        <w:t>全民健康信息化是新时期卫生健康事业发展的重要支撑,是深化医改的有力抓手,也是国家信息化发展战略的重要内容。我委自编制体制改革以来，委党组高度重视卫生健康信息化工作，坚持以标准建设为抓手，以区域全民健康信息平台为依托，推进信息互联互通和应用，为保障卫生健康事业发展提供强有力支撑。</w:t>
      </w:r>
    </w:p>
    <w:p>
      <w:pPr>
        <w:ind w:firstLine="640" w:firstLineChars="200"/>
        <w:rPr>
          <w:rFonts w:ascii="宋体" w:hAnsi="宋体" w:eastAsia="宋体" w:cs="宋体"/>
          <w:color w:val="FF0000"/>
          <w:sz w:val="28"/>
          <w:szCs w:val="28"/>
        </w:rPr>
      </w:pPr>
      <w:r>
        <w:rPr>
          <w:rFonts w:hint="eastAsia" w:ascii="仿宋_GB2312" w:hAnsi="华文中宋" w:eastAsia="仿宋_GB2312" w:cs="Times New Roman"/>
          <w:kern w:val="2"/>
          <w:sz w:val="32"/>
          <w:szCs w:val="32"/>
          <w:lang w:val="en-US" w:eastAsia="zh-CN" w:bidi="ar"/>
        </w:rPr>
        <w:t>根据</w:t>
      </w:r>
      <w:r>
        <w:rPr>
          <w:rFonts w:hint="eastAsia" w:ascii="仿宋_GB2312" w:hAnsi="仿宋" w:eastAsia="仿宋_GB2312" w:cs="Times New Roman"/>
          <w:sz w:val="32"/>
          <w:szCs w:val="32"/>
          <w:lang w:eastAsia="zh-CN"/>
        </w:rPr>
        <w:t>国家卫生健康委</w:t>
      </w:r>
      <w:r>
        <w:rPr>
          <w:rFonts w:hint="eastAsia" w:ascii="仿宋_GB2312" w:hAnsi="华文中宋" w:eastAsia="仿宋_GB2312" w:cs="Times New Roman"/>
          <w:kern w:val="2"/>
          <w:sz w:val="32"/>
          <w:szCs w:val="32"/>
          <w:lang w:val="en-US" w:eastAsia="zh-CN" w:bidi="ar"/>
        </w:rPr>
        <w:t>《关于印发“十四五”全民健康信息化规划的通知》（国卫规划发</w:t>
      </w:r>
      <w:r>
        <w:rPr>
          <w:rFonts w:hint="eastAsia" w:ascii="仿宋_GB2312" w:hAnsi="仿宋" w:eastAsia="仿宋_GB2312" w:cs="Times New Roman"/>
          <w:sz w:val="32"/>
          <w:szCs w:val="32"/>
        </w:rPr>
        <w:t>〔20</w:t>
      </w:r>
      <w:r>
        <w:rPr>
          <w:rFonts w:hint="eastAsia" w:ascii="仿宋_GB2312" w:hAnsi="仿宋" w:eastAsia="仿宋_GB2312" w:cs="Times New Roman"/>
          <w:sz w:val="32"/>
          <w:szCs w:val="32"/>
          <w:lang w:val="en-US" w:eastAsia="zh-CN"/>
        </w:rPr>
        <w:t>22</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val="en-US" w:eastAsia="zh-CN"/>
        </w:rPr>
        <w:t>30</w:t>
      </w:r>
      <w:r>
        <w:rPr>
          <w:rFonts w:hint="eastAsia" w:ascii="仿宋_GB2312" w:hAnsi="仿宋" w:eastAsia="仿宋_GB2312" w:cs="Times New Roman"/>
          <w:sz w:val="32"/>
          <w:szCs w:val="32"/>
        </w:rPr>
        <w:t>号</w:t>
      </w:r>
      <w:r>
        <w:rPr>
          <w:rFonts w:hint="eastAsia" w:ascii="仿宋_GB2312" w:hAnsi="华文中宋" w:eastAsia="仿宋_GB2312" w:cs="Times New Roman"/>
          <w:kern w:val="2"/>
          <w:sz w:val="32"/>
          <w:szCs w:val="32"/>
          <w:lang w:val="en-US" w:eastAsia="zh-CN" w:bidi="ar"/>
        </w:rPr>
        <w:t>）精神，以及《关于加快推进全民健康信息互联互通工作的通知》（豫卫规划</w:t>
      </w:r>
      <w:r>
        <w:rPr>
          <w:rFonts w:hint="eastAsia" w:ascii="仿宋_GB2312" w:hAnsi="仿宋" w:eastAsia="仿宋_GB2312" w:cs="Times New Roman"/>
          <w:sz w:val="32"/>
          <w:szCs w:val="32"/>
        </w:rPr>
        <w:t>〔20</w:t>
      </w:r>
      <w:r>
        <w:rPr>
          <w:rFonts w:hint="eastAsia" w:ascii="仿宋_GB2312" w:hAnsi="仿宋" w:eastAsia="仿宋_GB2312" w:cs="Times New Roman"/>
          <w:sz w:val="32"/>
          <w:szCs w:val="32"/>
          <w:lang w:val="en-US" w:eastAsia="zh-CN"/>
        </w:rPr>
        <w:t>17</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val="en-US" w:eastAsia="zh-CN"/>
        </w:rPr>
        <w:t>26</w:t>
      </w:r>
      <w:r>
        <w:rPr>
          <w:rFonts w:hint="eastAsia" w:ascii="仿宋_GB2312" w:hAnsi="仿宋" w:eastAsia="仿宋_GB2312" w:cs="Times New Roman"/>
          <w:sz w:val="32"/>
          <w:szCs w:val="32"/>
        </w:rPr>
        <w:t>号</w:t>
      </w:r>
      <w:r>
        <w:rPr>
          <w:rFonts w:hint="eastAsia" w:ascii="仿宋_GB2312" w:hAnsi="华文中宋" w:eastAsia="仿宋_GB2312" w:cs="Times New Roman"/>
          <w:kern w:val="2"/>
          <w:sz w:val="32"/>
          <w:szCs w:val="32"/>
          <w:lang w:val="en-US" w:eastAsia="zh-CN" w:bidi="ar"/>
        </w:rPr>
        <w:t>）和《关于进一步加快全民健康信息化建设的意见》</w:t>
      </w:r>
      <w:r>
        <w:rPr>
          <w:rFonts w:hint="eastAsia" w:ascii="仿宋_GB2312" w:hAnsi="华文中宋" w:eastAsia="仿宋_GB2312" w:cs="Times New Roman"/>
          <w:kern w:val="2"/>
          <w:sz w:val="32"/>
          <w:szCs w:val="32"/>
          <w:lang w:val="en-US" w:eastAsia="zh-CN" w:bidi="ar"/>
        </w:rPr>
        <w:t>（豫卫规划</w:t>
      </w:r>
      <w:r>
        <w:rPr>
          <w:rFonts w:hint="eastAsia" w:ascii="仿宋_GB2312" w:hAnsi="仿宋" w:eastAsia="仿宋_GB2312" w:cs="Times New Roman"/>
          <w:sz w:val="32"/>
          <w:szCs w:val="32"/>
        </w:rPr>
        <w:t>〔20</w:t>
      </w:r>
      <w:r>
        <w:rPr>
          <w:rFonts w:hint="eastAsia" w:ascii="仿宋_GB2312" w:hAnsi="仿宋" w:eastAsia="仿宋_GB2312" w:cs="Times New Roman"/>
          <w:sz w:val="32"/>
          <w:szCs w:val="32"/>
          <w:lang w:val="en-US" w:eastAsia="zh-CN"/>
        </w:rPr>
        <w:t>18</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val="en-US" w:eastAsia="zh-CN"/>
        </w:rPr>
        <w:t>27</w:t>
      </w:r>
      <w:r>
        <w:rPr>
          <w:rFonts w:hint="eastAsia" w:ascii="仿宋_GB2312" w:hAnsi="仿宋" w:eastAsia="仿宋_GB2312" w:cs="Times New Roman"/>
          <w:sz w:val="32"/>
          <w:szCs w:val="32"/>
        </w:rPr>
        <w:t>号</w:t>
      </w:r>
      <w:r>
        <w:rPr>
          <w:rFonts w:hint="eastAsia" w:ascii="仿宋_GB2312" w:hAnsi="华文中宋" w:eastAsia="仿宋_GB2312" w:cs="Times New Roman"/>
          <w:kern w:val="2"/>
          <w:sz w:val="32"/>
          <w:szCs w:val="32"/>
          <w:lang w:val="en-US" w:eastAsia="zh-CN" w:bidi="ar"/>
        </w:rPr>
        <w:t>）的要求，结合我省实际，制定本规范。</w:t>
      </w:r>
    </w:p>
    <w:p>
      <w:pPr>
        <w:ind w:firstLine="640" w:firstLineChars="200"/>
        <w:rPr>
          <w:rFonts w:hint="eastAsia" w:ascii="仿宋_GB2312" w:hAnsi="华文中宋" w:eastAsia="仿宋_GB2312" w:cs="Times New Roman"/>
          <w:kern w:val="2"/>
          <w:sz w:val="32"/>
          <w:szCs w:val="32"/>
          <w:lang w:val="en-US" w:eastAsia="zh-CN" w:bidi="ar"/>
        </w:rPr>
      </w:pPr>
      <w:r>
        <w:rPr>
          <w:rFonts w:hint="eastAsia" w:ascii="仿宋_GB2312" w:hAnsi="华文中宋" w:eastAsia="仿宋_GB2312" w:cs="Times New Roman"/>
          <w:kern w:val="2"/>
          <w:sz w:val="32"/>
          <w:szCs w:val="32"/>
          <w:lang w:val="en-US" w:eastAsia="zh-CN" w:bidi="ar"/>
        </w:rPr>
        <w:t>本规范适用于全省地市级全民健康信息平台医疗和公卫数据上传省级全民健康信息平台工作。</w:t>
      </w:r>
    </w:p>
    <w:p>
      <w:pPr>
        <w:numPr>
          <w:ilvl w:val="0"/>
          <w:numId w:val="1"/>
        </w:numPr>
        <w:spacing w:before="156" w:beforeLines="50" w:after="156" w:afterLines="50"/>
        <w:outlineLvl w:val="0"/>
        <w:rPr>
          <w:rFonts w:ascii="黑体" w:hAnsi="黑体" w:eastAsia="黑体" w:cs="黑体"/>
          <w:sz w:val="32"/>
          <w:szCs w:val="32"/>
        </w:rPr>
      </w:pPr>
      <w:r>
        <w:rPr>
          <w:rFonts w:hint="eastAsia" w:ascii="黑体" w:hAnsi="黑体" w:eastAsia="黑体" w:cs="黑体"/>
          <w:sz w:val="32"/>
          <w:szCs w:val="32"/>
        </w:rPr>
        <w:t>上传医疗数据表单</w:t>
      </w:r>
    </w:p>
    <w:p>
      <w:pPr>
        <w:ind w:firstLine="640" w:firstLineChars="200"/>
        <w:rPr>
          <w:rFonts w:hint="eastAsia" w:ascii="仿宋_GB2312" w:hAnsi="华文中宋" w:eastAsia="仿宋_GB2312" w:cs="Times New Roman"/>
          <w:kern w:val="2"/>
          <w:sz w:val="32"/>
          <w:szCs w:val="32"/>
          <w:lang w:val="en-US" w:eastAsia="zh-CN" w:bidi="ar"/>
        </w:rPr>
      </w:pPr>
      <w:r>
        <w:rPr>
          <w:rFonts w:hint="eastAsia" w:ascii="仿宋_GB2312" w:hAnsi="华文中宋" w:eastAsia="仿宋_GB2312" w:cs="Times New Roman"/>
          <w:kern w:val="2"/>
          <w:sz w:val="32"/>
          <w:szCs w:val="32"/>
          <w:lang w:val="en-US" w:eastAsia="zh-CN" w:bidi="ar"/>
        </w:rPr>
        <w:t>地市级平台需要按如下列出的业务数据表单上传数据，但考虑到各地市业务开展与信息化程度的不同，地市级平台所汇聚的数据存在差异，可根据实际情况确定具体的上传数据表单，对于没有数据上传的表单，地市级卫健委信息中心要作出没有上传原因说明，并上报省里备案。</w:t>
      </w:r>
    </w:p>
    <w:tbl>
      <w:tblPr>
        <w:tblStyle w:val="6"/>
        <w:tblW w:w="8324"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203"/>
        <w:gridCol w:w="2916"/>
        <w:gridCol w:w="3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324" w:type="dxa"/>
            <w:gridSpan w:val="4"/>
            <w:vAlign w:val="center"/>
          </w:tcPr>
          <w:p>
            <w:pPr>
              <w:widowControl/>
              <w:jc w:val="center"/>
              <w:textAlignment w:val="center"/>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地市平台上传数据表单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b/>
                <w:bCs/>
                <w:color w:val="000000"/>
                <w:kern w:val="0"/>
                <w:sz w:val="20"/>
                <w:szCs w:val="21"/>
                <w:lang w:bidi="ar"/>
              </w:rPr>
              <w:t>序号</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b/>
                <w:bCs/>
                <w:color w:val="000000"/>
                <w:kern w:val="0"/>
                <w:sz w:val="20"/>
                <w:szCs w:val="21"/>
                <w:lang w:bidi="ar"/>
              </w:rPr>
              <w:t>类别</w:t>
            </w:r>
          </w:p>
        </w:tc>
        <w:tc>
          <w:tcPr>
            <w:tcW w:w="2916"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b/>
                <w:bCs/>
                <w:color w:val="000000"/>
                <w:kern w:val="0"/>
                <w:sz w:val="20"/>
                <w:szCs w:val="21"/>
                <w:lang w:bidi="ar"/>
              </w:rPr>
              <w:t>中文名称</w:t>
            </w:r>
          </w:p>
        </w:tc>
        <w:tc>
          <w:tcPr>
            <w:tcW w:w="346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b/>
                <w:bCs/>
                <w:color w:val="000000"/>
                <w:kern w:val="0"/>
                <w:sz w:val="20"/>
                <w:szCs w:val="21"/>
                <w:lang w:bidi="ar"/>
              </w:rPr>
              <w:t>英文表名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1</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健康档案</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家庭基本信息</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EHR_Family_Basic_Information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2</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健康档案</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居民基本信息</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EHR_Resident_Basic_Information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3</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健康档案</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居民既往疾病史表</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EHR_Resident_Disease_History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4</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健康档案</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居民既往过敏史表</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EHR_Resident_Allergic_History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5</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健康档案</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居民既往手术史表</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EHR_Resident_Operation_History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6</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健康档案</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居民既往外伤史表</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EHR_Resident_Trauma_History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7</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健康档案</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居民既往输血史表</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EHR_Resident_Blood_History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8</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健康档案</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住院家庭病床史表</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EHR_Resident_Hospital_History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9</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健康档案</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家族/遗传史数据表</w:t>
            </w:r>
          </w:p>
        </w:tc>
        <w:tc>
          <w:tcPr>
            <w:tcW w:w="3463" w:type="dxa"/>
            <w:vAlign w:val="center"/>
          </w:tcPr>
          <w:p>
            <w:pPr>
              <w:widowControl/>
              <w:jc w:val="left"/>
              <w:textAlignment w:val="center"/>
              <w:rPr>
                <w:rFonts w:ascii="宋体" w:hAnsi="宋体" w:eastAsia="宋体" w:cs="宋体"/>
                <w:b/>
                <w:bCs/>
                <w:color w:val="000000"/>
                <w:w w:val="90"/>
                <w:kern w:val="0"/>
                <w:sz w:val="20"/>
                <w:szCs w:val="21"/>
                <w:lang w:bidi="ar"/>
              </w:rPr>
            </w:pPr>
            <w:r>
              <w:rPr>
                <w:rFonts w:hint="eastAsia" w:ascii="宋体" w:hAnsi="宋体" w:eastAsia="宋体" w:cs="宋体"/>
                <w:color w:val="000000"/>
                <w:w w:val="90"/>
                <w:kern w:val="0"/>
                <w:sz w:val="20"/>
                <w:szCs w:val="21"/>
                <w:lang w:bidi="ar"/>
              </w:rPr>
              <w:t>EHR_Resident_Family_Dis_History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10</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健康档案</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有毒有害接触史表</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EHR_Resident_Exposure_History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11</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健康档案</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成人健康体检表</w:t>
            </w:r>
          </w:p>
        </w:tc>
        <w:tc>
          <w:tcPr>
            <w:tcW w:w="3463" w:type="dxa"/>
            <w:vAlign w:val="center"/>
          </w:tcPr>
          <w:p>
            <w:pPr>
              <w:widowControl/>
              <w:jc w:val="left"/>
              <w:textAlignment w:val="center"/>
              <w:rPr>
                <w:rFonts w:ascii="宋体" w:hAnsi="宋体" w:eastAsia="宋体" w:cs="宋体"/>
                <w:b/>
                <w:bCs/>
                <w:color w:val="000000"/>
                <w:w w:val="90"/>
                <w:kern w:val="0"/>
                <w:sz w:val="20"/>
                <w:szCs w:val="21"/>
                <w:lang w:bidi="ar"/>
              </w:rPr>
            </w:pPr>
            <w:r>
              <w:rPr>
                <w:rFonts w:hint="eastAsia" w:ascii="宋体" w:hAnsi="宋体" w:eastAsia="宋体" w:cs="宋体"/>
                <w:color w:val="000000"/>
                <w:w w:val="90"/>
                <w:kern w:val="0"/>
                <w:sz w:val="20"/>
                <w:szCs w:val="21"/>
                <w:lang w:bidi="ar"/>
              </w:rPr>
              <w:t>EHR_Resident_Health_Examination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12</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健康档案</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成人体检用药记录表</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EHR_Resident_Drug_History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13</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慢病管理</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高血压患者登记表结构</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EHR_Hyperten_Patient_Registry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14</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慢病管理</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高血压患者随访表结构</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EHR_Hyperten_Patient_Visit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15</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慢病管理</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糖尿病患者登记表结构</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EHR_Diabetes_Patient_Registry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16</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慢病管理</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糖尿病患者随访表结构</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EHR_Diabetes_Patient_Visit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17</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老年保健</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老年自理能力评估表</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EHR_65OLDER_SELFCARE_ASSESS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18</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老年保健</w:t>
            </w:r>
          </w:p>
        </w:tc>
        <w:tc>
          <w:tcPr>
            <w:tcW w:w="2916"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老年中医体质辩识表</w:t>
            </w:r>
          </w:p>
        </w:tc>
        <w:tc>
          <w:tcPr>
            <w:tcW w:w="3463" w:type="dxa"/>
            <w:vAlign w:val="center"/>
          </w:tcPr>
          <w:p>
            <w:pPr>
              <w:widowControl/>
              <w:jc w:val="left"/>
              <w:textAlignment w:val="center"/>
              <w:rPr>
                <w:rFonts w:ascii="宋体" w:hAnsi="宋体" w:eastAsia="宋体" w:cs="宋体"/>
                <w:b/>
                <w:bCs/>
                <w:color w:val="000000"/>
                <w:kern w:val="0"/>
                <w:sz w:val="20"/>
                <w:szCs w:val="21"/>
                <w:lang w:bidi="ar"/>
              </w:rPr>
            </w:pPr>
            <w:r>
              <w:rPr>
                <w:rFonts w:hint="eastAsia" w:ascii="宋体" w:hAnsi="宋体" w:eastAsia="宋体" w:cs="宋体"/>
                <w:color w:val="000000"/>
                <w:kern w:val="0"/>
                <w:sz w:val="20"/>
                <w:szCs w:val="21"/>
                <w:lang w:bidi="ar"/>
              </w:rPr>
              <w:t>EHR_65OLDER_PHYSIQUE_IDENTI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1</w:t>
            </w:r>
            <w:r>
              <w:rPr>
                <w:rFonts w:ascii="宋体" w:hAnsi="宋体" w:eastAsia="宋体" w:cs="宋体"/>
                <w:color w:val="000000"/>
                <w:kern w:val="0"/>
                <w:sz w:val="20"/>
                <w:szCs w:val="21"/>
                <w:lang w:bidi="ar"/>
              </w:rPr>
              <w:t>9</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门诊数据</w:t>
            </w:r>
          </w:p>
        </w:tc>
        <w:tc>
          <w:tcPr>
            <w:tcW w:w="291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患者基本信息数据</w:t>
            </w:r>
          </w:p>
        </w:tc>
        <w:tc>
          <w:tcPr>
            <w:tcW w:w="346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EMR_PATIENT_BASIC_INFORMATION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2</w:t>
            </w:r>
            <w:r>
              <w:rPr>
                <w:rFonts w:ascii="宋体" w:hAnsi="宋体" w:eastAsia="宋体" w:cs="宋体"/>
                <w:color w:val="000000"/>
                <w:kern w:val="0"/>
                <w:sz w:val="20"/>
                <w:szCs w:val="21"/>
                <w:lang w:bidi="ar"/>
              </w:rPr>
              <w:t>0</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门诊数据</w:t>
            </w:r>
          </w:p>
        </w:tc>
        <w:tc>
          <w:tcPr>
            <w:tcW w:w="291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门诊急诊挂号数据</w:t>
            </w:r>
          </w:p>
        </w:tc>
        <w:tc>
          <w:tcPr>
            <w:tcW w:w="346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EMR_REGISTERED_PATIENT_RECORD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21</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门诊数据</w:t>
            </w:r>
          </w:p>
        </w:tc>
        <w:tc>
          <w:tcPr>
            <w:tcW w:w="291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门诊急诊就诊记录</w:t>
            </w:r>
          </w:p>
        </w:tc>
        <w:tc>
          <w:tcPr>
            <w:tcW w:w="346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EMR_OUTPATIENT_VISIT_RECORD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22</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门诊数据</w:t>
            </w:r>
          </w:p>
        </w:tc>
        <w:tc>
          <w:tcPr>
            <w:tcW w:w="291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门诊急诊西药处方（主表）</w:t>
            </w:r>
          </w:p>
        </w:tc>
        <w:tc>
          <w:tcPr>
            <w:tcW w:w="346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EMR_VM_PRESCRIPTION_RECORD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23</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门诊数据</w:t>
            </w:r>
          </w:p>
        </w:tc>
        <w:tc>
          <w:tcPr>
            <w:tcW w:w="291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门诊急诊西药处方（从表）</w:t>
            </w:r>
          </w:p>
        </w:tc>
        <w:tc>
          <w:tcPr>
            <w:tcW w:w="346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EMR_WESTERN_MEDICINE_RECORD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24</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门诊数据</w:t>
            </w:r>
          </w:p>
        </w:tc>
        <w:tc>
          <w:tcPr>
            <w:tcW w:w="2916" w:type="dxa"/>
            <w:vAlign w:val="center"/>
          </w:tcPr>
          <w:p>
            <w:pPr>
              <w:widowControl/>
              <w:jc w:val="left"/>
              <w:textAlignment w:val="center"/>
              <w:rPr>
                <w:rFonts w:ascii="宋体" w:hAnsi="宋体" w:eastAsia="宋体" w:cs="宋体"/>
                <w:w w:val="90"/>
                <w:kern w:val="0"/>
                <w:sz w:val="20"/>
                <w:szCs w:val="21"/>
              </w:rPr>
            </w:pPr>
            <w:r>
              <w:rPr>
                <w:rFonts w:hint="eastAsia" w:ascii="宋体" w:hAnsi="宋体" w:eastAsia="宋体" w:cs="宋体"/>
                <w:color w:val="000000"/>
                <w:w w:val="90"/>
                <w:kern w:val="0"/>
                <w:sz w:val="20"/>
                <w:szCs w:val="21"/>
                <w:lang w:bidi="ar"/>
              </w:rPr>
              <w:t>门诊急诊中药饮片处方（主表）</w:t>
            </w:r>
          </w:p>
        </w:tc>
        <w:tc>
          <w:tcPr>
            <w:tcW w:w="346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EMR_CM_PRESCRIPTION_RECORD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25</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门诊数据</w:t>
            </w:r>
          </w:p>
        </w:tc>
        <w:tc>
          <w:tcPr>
            <w:tcW w:w="2916" w:type="dxa"/>
            <w:vAlign w:val="center"/>
          </w:tcPr>
          <w:p>
            <w:pPr>
              <w:widowControl/>
              <w:jc w:val="left"/>
              <w:textAlignment w:val="center"/>
              <w:rPr>
                <w:rFonts w:ascii="宋体" w:hAnsi="宋体" w:eastAsia="宋体" w:cs="宋体"/>
                <w:color w:val="000000"/>
                <w:w w:val="90"/>
                <w:kern w:val="0"/>
                <w:sz w:val="20"/>
                <w:szCs w:val="21"/>
                <w:lang w:bidi="ar"/>
              </w:rPr>
            </w:pPr>
            <w:r>
              <w:rPr>
                <w:rFonts w:hint="eastAsia" w:ascii="宋体" w:hAnsi="宋体" w:eastAsia="宋体" w:cs="宋体"/>
                <w:color w:val="000000"/>
                <w:w w:val="90"/>
                <w:kern w:val="0"/>
                <w:sz w:val="20"/>
                <w:szCs w:val="21"/>
                <w:lang w:bidi="ar"/>
              </w:rPr>
              <w:t>门诊急诊中药饮片处方（从表）</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EMR_CHINESE_MEDICINE_RECORD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26</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门诊数据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门诊急诊医院收费（主表）</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EMR_OUTP_CHARGE_RECORD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27</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门诊数据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门诊急诊医院收费（从表）</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EMR_OUTP_CHARGE_DETAIL_RECORD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28</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病人入院记录数据</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EMR_PATIENT_ADMISSION_RECORD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29</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 xml:space="preserve">24小时入出院记录 </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EMR_PATIENT_24H_ADMIS_RECORD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30</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 xml:space="preserve">住院病人长期医嘱记录 </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EMR_LONG_MEDICAL_ADVICE_RECORD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31</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 xml:space="preserve">住院病人临时医嘱记录 </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EMR_INTE_MEDICAL_ADVICE_RECORD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32</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住院病人首次病程记录</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EMR_PAT_FIRST_DIS_PRO_RECORD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33</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 xml:space="preserve">住院病人日常病程记录 </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EMR_PAT_DAILY_DIS_PRO_RECORD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34</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住院病人出院小结</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EMR_PATIENT_DISCHARGE_RECORD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35</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西医病案首页（主表）</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EMR_MEDICAL_HOME_PAGE_RECORD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36</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w w:val="90"/>
                <w:kern w:val="0"/>
                <w:sz w:val="20"/>
                <w:szCs w:val="21"/>
                <w:lang w:bidi="ar"/>
              </w:rPr>
            </w:pPr>
            <w:r>
              <w:rPr>
                <w:rFonts w:hint="eastAsia" w:ascii="宋体" w:hAnsi="宋体" w:eastAsia="宋体" w:cs="宋体"/>
                <w:color w:val="000000"/>
                <w:w w:val="90"/>
                <w:kern w:val="0"/>
                <w:sz w:val="20"/>
                <w:szCs w:val="21"/>
                <w:lang w:bidi="ar"/>
              </w:rPr>
              <w:t>西医病案首页手术记录（从表）</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EMR_MED_HOME_PAGE_OPER_RECORD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37</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中医病案首页（主表）</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EMR_CMEDICAL_HOME_PAGE_RECORD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38</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w w:val="90"/>
                <w:kern w:val="0"/>
                <w:sz w:val="20"/>
                <w:szCs w:val="21"/>
                <w:lang w:bidi="ar"/>
              </w:rPr>
            </w:pPr>
            <w:r>
              <w:rPr>
                <w:rFonts w:hint="eastAsia" w:ascii="宋体" w:hAnsi="宋体" w:eastAsia="宋体" w:cs="宋体"/>
                <w:color w:val="000000"/>
                <w:w w:val="90"/>
                <w:kern w:val="0"/>
                <w:sz w:val="20"/>
                <w:szCs w:val="21"/>
                <w:lang w:bidi="ar"/>
              </w:rPr>
              <w:t>中医病案首页手术记录（从表）</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EMR_CMED_HOME_PAGE_OPER_RECORD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39</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病人住院费用结算（主表）</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EMR_HOSP_CHARGE_RECORD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40</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病人住院费用明细（从表）</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EMR_HOSP_CHARGE_DETAIL_RECORD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41</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检验检查</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检验报告记录（主表）</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EMR_TEST_SAMPLING_RECORD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42</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检验检查</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检验结果明细（从表）</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EMR_TEST_RESULT_RECORD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43</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检验检查</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检查报告记录</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EMR_INSPECTION_RESULT_RECORD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44</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其他数据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手术麻醉记录</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EMR_OPERATION_RECORD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45</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其他数据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治疗处置记录</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EMR_TREAT_RECORD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46</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其他数据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患者输血记录</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EMR_TREATMENT_DATA_RECORD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47</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其他数据</w:t>
            </w:r>
          </w:p>
        </w:tc>
        <w:tc>
          <w:tcPr>
            <w:tcW w:w="291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高值耗材使用记录</w:t>
            </w:r>
          </w:p>
        </w:tc>
        <w:tc>
          <w:tcPr>
            <w:tcW w:w="346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EMR_CONSUMABLES_USE_RECORD</w:t>
            </w:r>
          </w:p>
        </w:tc>
      </w:tr>
    </w:tbl>
    <w:p>
      <w:pPr>
        <w:ind w:firstLine="640" w:firstLineChars="200"/>
        <w:rPr>
          <w:rFonts w:ascii="宋体" w:hAnsi="宋体" w:eastAsia="宋体" w:cs="宋体"/>
          <w:sz w:val="28"/>
          <w:szCs w:val="28"/>
        </w:rPr>
      </w:pPr>
      <w:r>
        <w:rPr>
          <w:rFonts w:hint="eastAsia" w:ascii="仿宋_GB2312" w:hAnsi="华文中宋" w:eastAsia="仿宋_GB2312" w:cs="Times New Roman"/>
          <w:kern w:val="2"/>
          <w:sz w:val="32"/>
          <w:szCs w:val="32"/>
          <w:lang w:val="en-US" w:eastAsia="zh-CN" w:bidi="ar"/>
        </w:rPr>
        <w:t>每个公卫、医疗业务表单上传要求详见省里下发标准。</w:t>
      </w:r>
      <w:r>
        <w:rPr>
          <w:rFonts w:hint="eastAsia" w:ascii="宋体" w:hAnsi="宋体" w:eastAsia="宋体" w:cs="宋体"/>
          <w:color w:val="FF0000"/>
          <w:sz w:val="28"/>
          <w:szCs w:val="28"/>
        </w:rPr>
        <w:t>允许各地在平台建设时根据实际情况增加业务数据表单，以及在省业务数据表单的基础上增加字段。</w:t>
      </w:r>
    </w:p>
    <w:p>
      <w:pPr>
        <w:numPr>
          <w:ilvl w:val="0"/>
          <w:numId w:val="1"/>
        </w:numPr>
        <w:spacing w:before="156" w:beforeLines="50" w:after="156" w:afterLines="50"/>
        <w:outlineLvl w:val="0"/>
        <w:rPr>
          <w:rFonts w:ascii="黑体" w:hAnsi="黑体" w:eastAsia="黑体" w:cs="黑体"/>
          <w:sz w:val="32"/>
          <w:szCs w:val="32"/>
        </w:rPr>
      </w:pPr>
      <w:r>
        <w:rPr>
          <w:rFonts w:hint="eastAsia" w:ascii="黑体" w:hAnsi="黑体" w:eastAsia="黑体" w:cs="黑体"/>
          <w:sz w:val="32"/>
          <w:szCs w:val="32"/>
        </w:rPr>
        <w:t>数据上传方式</w:t>
      </w:r>
    </w:p>
    <w:p>
      <w:pPr>
        <w:ind w:firstLine="640" w:firstLineChars="200"/>
        <w:rPr>
          <w:rFonts w:hint="eastAsia" w:ascii="仿宋_GB2312" w:hAnsi="华文中宋" w:eastAsia="仿宋_GB2312" w:cs="Times New Roman"/>
          <w:kern w:val="2"/>
          <w:sz w:val="32"/>
          <w:szCs w:val="32"/>
          <w:lang w:val="en-US" w:eastAsia="zh-CN" w:bidi="ar"/>
        </w:rPr>
      </w:pPr>
      <w:r>
        <w:rPr>
          <w:rFonts w:hint="eastAsia" w:ascii="仿宋_GB2312" w:hAnsi="华文中宋" w:eastAsia="仿宋_GB2312" w:cs="Times New Roman"/>
          <w:kern w:val="2"/>
          <w:sz w:val="32"/>
          <w:szCs w:val="32"/>
          <w:lang w:val="en-US" w:eastAsia="zh-CN" w:bidi="ar"/>
        </w:rPr>
        <w:t>采用前置数据交换服务器方式上传公卫、医疗数据。</w:t>
      </w:r>
    </w:p>
    <w:p>
      <w:pPr>
        <w:numPr>
          <w:ilvl w:val="0"/>
          <w:numId w:val="2"/>
        </w:numPr>
        <w:ind w:firstLine="600" w:firstLineChars="200"/>
        <w:outlineLvl w:val="1"/>
        <w:rPr>
          <w:rFonts w:ascii="黑体" w:hAnsi="黑体" w:eastAsia="黑体" w:cs="宋体"/>
          <w:sz w:val="30"/>
          <w:szCs w:val="30"/>
        </w:rPr>
      </w:pPr>
      <w:r>
        <w:rPr>
          <w:rFonts w:hint="eastAsia" w:ascii="黑体" w:hAnsi="黑体" w:eastAsia="黑体" w:cs="宋体"/>
          <w:sz w:val="30"/>
          <w:szCs w:val="30"/>
        </w:rPr>
        <w:t>地市前置服务器准备</w:t>
      </w:r>
    </w:p>
    <w:p>
      <w:pPr>
        <w:ind w:firstLine="560" w:firstLineChars="200"/>
        <w:rPr>
          <w:rFonts w:ascii="宋体" w:hAnsi="宋体" w:eastAsia="宋体" w:cs="宋体"/>
          <w:sz w:val="28"/>
          <w:szCs w:val="28"/>
        </w:rPr>
      </w:pPr>
      <w:r>
        <w:rPr>
          <w:rFonts w:hint="eastAsia" w:ascii="宋体" w:hAnsi="宋体" w:eastAsia="宋体" w:cs="宋体"/>
          <w:sz w:val="28"/>
          <w:szCs w:val="28"/>
        </w:rPr>
        <w:t>地市平台在上传数据之前需要准备好一台前置服务器机（具体配置要求如下），用于公卫、医疗数据的上传。并在前置服务器上安装Oracle数据库（求1</w:t>
      </w:r>
      <w:r>
        <w:rPr>
          <w:rFonts w:ascii="宋体" w:hAnsi="宋体" w:eastAsia="宋体" w:cs="宋体"/>
          <w:sz w:val="28"/>
          <w:szCs w:val="28"/>
        </w:rPr>
        <w:t>2</w:t>
      </w:r>
      <w:r>
        <w:rPr>
          <w:rFonts w:hint="eastAsia" w:ascii="宋体" w:hAnsi="宋体" w:eastAsia="宋体" w:cs="宋体"/>
          <w:sz w:val="28"/>
          <w:szCs w:val="28"/>
        </w:rPr>
        <w:t>C及以上版本），以及安装Oracle</w:t>
      </w:r>
      <w:r>
        <w:rPr>
          <w:rFonts w:ascii="宋体" w:hAnsi="宋体" w:eastAsia="宋体" w:cs="宋体"/>
          <w:sz w:val="28"/>
          <w:szCs w:val="28"/>
        </w:rPr>
        <w:t xml:space="preserve"> </w:t>
      </w:r>
      <w:r>
        <w:rPr>
          <w:rFonts w:hint="eastAsia" w:ascii="宋体" w:hAnsi="宋体" w:eastAsia="宋体" w:cs="宋体"/>
          <w:sz w:val="28"/>
          <w:szCs w:val="28"/>
        </w:rPr>
        <w:t>12C相应的32位客户端程序。</w:t>
      </w:r>
    </w:p>
    <w:p>
      <w:pPr>
        <w:ind w:firstLine="560" w:firstLineChars="200"/>
        <w:rPr>
          <w:rFonts w:ascii="宋体" w:hAnsi="宋体" w:eastAsia="宋体" w:cs="宋体"/>
          <w:sz w:val="28"/>
          <w:szCs w:val="28"/>
        </w:rPr>
      </w:pPr>
      <w:r>
        <w:rPr>
          <w:rFonts w:hint="eastAsia" w:ascii="宋体" w:hAnsi="宋体" w:eastAsia="宋体" w:cs="宋体"/>
          <w:sz w:val="28"/>
          <w:szCs w:val="28"/>
        </w:rPr>
        <w:t>说明：如果地市平台已有前置服务器，且性能达到下列要求，则不需要另外配备。如未配备或性能太低，建议按以下要求配置。</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配置方案：</w:t>
      </w:r>
    </w:p>
    <w:tbl>
      <w:tblPr>
        <w:tblStyle w:val="5"/>
        <w:tblW w:w="83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748"/>
        <w:gridCol w:w="3451"/>
        <w:gridCol w:w="2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04" w:type="dxa"/>
          </w:tcPr>
          <w:p>
            <w:pPr>
              <w:spacing w:line="360" w:lineRule="auto"/>
              <w:jc w:val="center"/>
              <w:rPr>
                <w:rFonts w:ascii="宋体" w:hAnsi="宋体"/>
                <w:b/>
                <w:szCs w:val="21"/>
              </w:rPr>
            </w:pPr>
            <w:r>
              <w:rPr>
                <w:rFonts w:hint="eastAsia" w:ascii="宋体" w:hAnsi="宋体"/>
                <w:b/>
                <w:szCs w:val="21"/>
              </w:rPr>
              <w:t>名称</w:t>
            </w:r>
          </w:p>
        </w:tc>
        <w:tc>
          <w:tcPr>
            <w:tcW w:w="748" w:type="dxa"/>
          </w:tcPr>
          <w:p>
            <w:pPr>
              <w:spacing w:line="360" w:lineRule="auto"/>
              <w:jc w:val="center"/>
              <w:rPr>
                <w:rFonts w:ascii="宋体" w:hAnsi="宋体"/>
                <w:b/>
                <w:szCs w:val="21"/>
              </w:rPr>
            </w:pPr>
            <w:r>
              <w:rPr>
                <w:rFonts w:hint="eastAsia" w:ascii="宋体" w:hAnsi="宋体"/>
                <w:b/>
                <w:szCs w:val="21"/>
              </w:rPr>
              <w:t>数量</w:t>
            </w:r>
          </w:p>
        </w:tc>
        <w:tc>
          <w:tcPr>
            <w:tcW w:w="3451" w:type="dxa"/>
          </w:tcPr>
          <w:p>
            <w:pPr>
              <w:spacing w:line="360" w:lineRule="auto"/>
              <w:jc w:val="center"/>
              <w:rPr>
                <w:rFonts w:ascii="宋体" w:hAnsi="宋体"/>
                <w:b/>
                <w:szCs w:val="21"/>
              </w:rPr>
            </w:pPr>
            <w:r>
              <w:rPr>
                <w:rFonts w:hint="eastAsia" w:ascii="宋体" w:hAnsi="宋体"/>
                <w:b/>
                <w:szCs w:val="21"/>
              </w:rPr>
              <w:t>配置建议</w:t>
            </w:r>
          </w:p>
        </w:tc>
        <w:tc>
          <w:tcPr>
            <w:tcW w:w="2198" w:type="dxa"/>
          </w:tcPr>
          <w:p>
            <w:pPr>
              <w:spacing w:line="360" w:lineRule="auto"/>
              <w:jc w:val="center"/>
              <w:rPr>
                <w:rFonts w:ascii="宋体" w:hAnsi="宋体"/>
                <w:b/>
                <w:szCs w:val="21"/>
              </w:rPr>
            </w:pPr>
            <w:r>
              <w:rPr>
                <w:rFonts w:hint="eastAsia" w:ascii="宋体" w:hAnsi="宋体"/>
                <w:b/>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04" w:type="dxa"/>
          </w:tcPr>
          <w:p>
            <w:pPr>
              <w:spacing w:line="360" w:lineRule="auto"/>
              <w:jc w:val="center"/>
              <w:rPr>
                <w:rFonts w:ascii="宋体" w:hAnsi="宋体"/>
                <w:szCs w:val="21"/>
              </w:rPr>
            </w:pPr>
            <w:r>
              <w:rPr>
                <w:rFonts w:hint="eastAsia" w:ascii="宋体" w:hAnsi="宋体"/>
                <w:szCs w:val="21"/>
              </w:rPr>
              <w:t>地市交换服务器</w:t>
            </w:r>
          </w:p>
        </w:tc>
        <w:tc>
          <w:tcPr>
            <w:tcW w:w="748" w:type="dxa"/>
          </w:tcPr>
          <w:p>
            <w:pPr>
              <w:spacing w:line="360" w:lineRule="auto"/>
              <w:jc w:val="center"/>
              <w:rPr>
                <w:rFonts w:ascii="宋体" w:hAnsi="宋体"/>
                <w:szCs w:val="21"/>
              </w:rPr>
            </w:pPr>
            <w:r>
              <w:rPr>
                <w:rFonts w:hint="eastAsia" w:ascii="宋体" w:hAnsi="宋体"/>
                <w:szCs w:val="21"/>
              </w:rPr>
              <w:t>1</w:t>
            </w:r>
          </w:p>
        </w:tc>
        <w:tc>
          <w:tcPr>
            <w:tcW w:w="3451" w:type="dxa"/>
          </w:tcPr>
          <w:p>
            <w:pPr>
              <w:numPr>
                <w:ilvl w:val="0"/>
                <w:numId w:val="3"/>
              </w:numPr>
              <w:spacing w:line="264" w:lineRule="auto"/>
              <w:rPr>
                <w:color w:val="000000"/>
                <w:szCs w:val="21"/>
              </w:rPr>
            </w:pPr>
            <w:r>
              <w:rPr>
                <w:rFonts w:hint="eastAsia" w:ascii="宋体" w:hAnsi="宋体"/>
                <w:szCs w:val="21"/>
              </w:rPr>
              <w:t>Cpu 32</w:t>
            </w:r>
          </w:p>
          <w:p>
            <w:pPr>
              <w:numPr>
                <w:ilvl w:val="0"/>
                <w:numId w:val="3"/>
              </w:numPr>
              <w:spacing w:line="264" w:lineRule="auto"/>
              <w:rPr>
                <w:color w:val="000000"/>
                <w:szCs w:val="21"/>
              </w:rPr>
            </w:pPr>
            <w:r>
              <w:rPr>
                <w:rFonts w:hint="eastAsia"/>
                <w:color w:val="000000"/>
                <w:szCs w:val="21"/>
              </w:rPr>
              <w:t>内存 256</w:t>
            </w:r>
          </w:p>
          <w:p>
            <w:pPr>
              <w:numPr>
                <w:ilvl w:val="0"/>
                <w:numId w:val="3"/>
              </w:numPr>
              <w:spacing w:line="264" w:lineRule="auto"/>
              <w:rPr>
                <w:color w:val="000000"/>
                <w:szCs w:val="21"/>
              </w:rPr>
            </w:pPr>
            <w:r>
              <w:rPr>
                <w:rFonts w:hint="eastAsia" w:ascii="宋体" w:hAnsi="宋体"/>
                <w:szCs w:val="21"/>
              </w:rPr>
              <w:t>硬盘5T</w:t>
            </w:r>
          </w:p>
          <w:p>
            <w:pPr>
              <w:numPr>
                <w:ilvl w:val="0"/>
                <w:numId w:val="3"/>
              </w:numPr>
              <w:spacing w:line="264" w:lineRule="auto"/>
              <w:rPr>
                <w:color w:val="000000"/>
                <w:szCs w:val="21"/>
              </w:rPr>
            </w:pPr>
            <w:r>
              <w:rPr>
                <w:rFonts w:hint="eastAsia"/>
                <w:color w:val="000000"/>
                <w:szCs w:val="21"/>
              </w:rPr>
              <w:t>存储：根据年数据增长量评估，结合市平台存量数据自定</w:t>
            </w:r>
          </w:p>
          <w:p>
            <w:pPr>
              <w:numPr>
                <w:ilvl w:val="0"/>
                <w:numId w:val="3"/>
              </w:numPr>
              <w:spacing w:line="264" w:lineRule="auto"/>
              <w:rPr>
                <w:szCs w:val="21"/>
              </w:rPr>
            </w:pPr>
            <w:r>
              <w:rPr>
                <w:rFonts w:hint="eastAsia"/>
                <w:color w:val="000000"/>
                <w:szCs w:val="21"/>
              </w:rPr>
              <w:t>操作系统centos</w:t>
            </w:r>
          </w:p>
        </w:tc>
        <w:tc>
          <w:tcPr>
            <w:tcW w:w="2198" w:type="dxa"/>
          </w:tcPr>
          <w:p>
            <w:pPr>
              <w:spacing w:line="360" w:lineRule="auto"/>
              <w:rPr>
                <w:rFonts w:ascii="宋体" w:hAnsi="宋体"/>
                <w:szCs w:val="21"/>
              </w:rPr>
            </w:pPr>
            <w:r>
              <w:rPr>
                <w:rFonts w:hint="eastAsia" w:ascii="宋体" w:hAnsi="宋体"/>
                <w:szCs w:val="21"/>
              </w:rPr>
              <w:t>数据量每年递增，须根据资源使用情况支持存储扩展</w:t>
            </w:r>
          </w:p>
        </w:tc>
      </w:tr>
    </w:tbl>
    <w:p>
      <w:pPr>
        <w:numPr>
          <w:ilvl w:val="0"/>
          <w:numId w:val="2"/>
        </w:numPr>
        <w:ind w:firstLine="600" w:firstLineChars="200"/>
        <w:outlineLvl w:val="1"/>
        <w:rPr>
          <w:rFonts w:ascii="黑体" w:hAnsi="黑体" w:eastAsia="黑体" w:cs="宋体"/>
          <w:sz w:val="30"/>
          <w:szCs w:val="30"/>
        </w:rPr>
      </w:pPr>
      <w:r>
        <w:rPr>
          <w:rFonts w:hint="eastAsia" w:ascii="黑体" w:hAnsi="黑体" w:eastAsia="黑体" w:cs="宋体"/>
          <w:sz w:val="30"/>
          <w:szCs w:val="30"/>
        </w:rPr>
        <w:t>公卫及医疗数据上传</w:t>
      </w:r>
    </w:p>
    <w:p>
      <w:pPr>
        <w:ind w:firstLine="640" w:firstLineChars="200"/>
        <w:rPr>
          <w:rFonts w:hint="eastAsia" w:ascii="仿宋_GB2312" w:hAnsi="华文中宋" w:eastAsia="仿宋_GB2312" w:cs="Times New Roman"/>
          <w:kern w:val="2"/>
          <w:sz w:val="32"/>
          <w:szCs w:val="32"/>
          <w:lang w:val="en-US" w:eastAsia="zh-CN" w:bidi="ar"/>
        </w:rPr>
      </w:pPr>
      <w:r>
        <w:rPr>
          <w:rFonts w:hint="eastAsia" w:ascii="仿宋_GB2312" w:hAnsi="华文中宋" w:eastAsia="仿宋_GB2312" w:cs="Times New Roman"/>
          <w:kern w:val="2"/>
          <w:sz w:val="32"/>
          <w:szCs w:val="32"/>
          <w:lang w:val="en-US" w:eastAsia="zh-CN" w:bidi="ar"/>
        </w:rPr>
        <w:t>已建平台的地市：原则上要求从地市集成平台提取数据，然后按标准转换后上传到前置交换服务器上。</w:t>
      </w:r>
    </w:p>
    <w:p>
      <w:pPr>
        <w:ind w:firstLine="640" w:firstLineChars="200"/>
        <w:rPr>
          <w:rFonts w:ascii="宋体" w:hAnsi="宋体" w:eastAsia="宋体" w:cs="宋体"/>
          <w:sz w:val="28"/>
          <w:szCs w:val="28"/>
        </w:rPr>
      </w:pPr>
      <w:r>
        <w:rPr>
          <w:rFonts w:hint="eastAsia" w:ascii="仿宋_GB2312" w:hAnsi="华文中宋" w:eastAsia="仿宋_GB2312" w:cs="Times New Roman"/>
          <w:kern w:val="2"/>
          <w:sz w:val="32"/>
          <w:szCs w:val="32"/>
          <w:lang w:val="en-US" w:eastAsia="zh-CN" w:bidi="ar"/>
        </w:rPr>
        <w:t>未建平台的地市：要求数据中心从各业务系统提取数据，然后按标准转换后上传到前置交换服务器上。</w:t>
      </w:r>
    </w:p>
    <w:p>
      <w:pPr>
        <w:numPr>
          <w:ilvl w:val="0"/>
          <w:numId w:val="1"/>
        </w:numPr>
        <w:spacing w:before="156" w:beforeLines="50" w:after="156" w:afterLines="50"/>
        <w:outlineLvl w:val="0"/>
        <w:rPr>
          <w:rFonts w:ascii="黑体" w:hAnsi="黑体" w:eastAsia="黑体" w:cs="黑体"/>
          <w:sz w:val="32"/>
          <w:szCs w:val="32"/>
        </w:rPr>
      </w:pPr>
      <w:r>
        <w:rPr>
          <w:rFonts w:hint="eastAsia" w:ascii="黑体" w:hAnsi="黑体" w:eastAsia="黑体" w:cs="黑体"/>
          <w:sz w:val="32"/>
          <w:szCs w:val="32"/>
        </w:rPr>
        <w:t>数据上传时间要求</w:t>
      </w:r>
    </w:p>
    <w:p>
      <w:pPr>
        <w:ind w:firstLine="640" w:firstLineChars="200"/>
        <w:rPr>
          <w:rFonts w:hint="eastAsia" w:ascii="仿宋_GB2312" w:hAnsi="华文中宋" w:eastAsia="仿宋_GB2312" w:cs="Times New Roman"/>
          <w:kern w:val="2"/>
          <w:sz w:val="32"/>
          <w:szCs w:val="32"/>
          <w:lang w:val="en-US" w:eastAsia="zh-CN" w:bidi="ar"/>
        </w:rPr>
      </w:pPr>
      <w:r>
        <w:rPr>
          <w:rFonts w:hint="eastAsia" w:ascii="仿宋_GB2312" w:hAnsi="华文中宋" w:eastAsia="仿宋_GB2312" w:cs="Times New Roman"/>
          <w:kern w:val="2"/>
          <w:sz w:val="32"/>
          <w:szCs w:val="32"/>
          <w:lang w:val="en-US" w:eastAsia="zh-CN" w:bidi="ar"/>
        </w:rPr>
        <w:t>针对不同的公卫、医疗业务数据表单上传时间要求如下：</w:t>
      </w:r>
    </w:p>
    <w:tbl>
      <w:tblPr>
        <w:tblStyle w:val="6"/>
        <w:tblW w:w="8315"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203"/>
        <w:gridCol w:w="3117"/>
        <w:gridCol w:w="3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15" w:type="dxa"/>
            <w:gridSpan w:val="4"/>
            <w:vAlign w:val="center"/>
          </w:tcPr>
          <w:p>
            <w:pPr>
              <w:widowControl/>
              <w:jc w:val="center"/>
              <w:textAlignment w:val="center"/>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上传数据时间要求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b/>
                <w:bCs/>
                <w:color w:val="000000"/>
                <w:kern w:val="0"/>
                <w:sz w:val="20"/>
                <w:szCs w:val="21"/>
                <w:lang w:bidi="ar"/>
              </w:rPr>
              <w:t>序号</w:t>
            </w:r>
          </w:p>
        </w:tc>
        <w:tc>
          <w:tcPr>
            <w:tcW w:w="1203"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b/>
                <w:bCs/>
                <w:color w:val="000000"/>
                <w:kern w:val="0"/>
                <w:sz w:val="20"/>
                <w:szCs w:val="21"/>
                <w:lang w:bidi="ar"/>
              </w:rPr>
              <w:t>类别</w:t>
            </w:r>
          </w:p>
        </w:tc>
        <w:tc>
          <w:tcPr>
            <w:tcW w:w="3117"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b/>
                <w:bCs/>
                <w:color w:val="000000"/>
                <w:kern w:val="0"/>
                <w:sz w:val="20"/>
                <w:szCs w:val="21"/>
                <w:lang w:bidi="ar"/>
              </w:rPr>
              <w:t>中文名称</w:t>
            </w:r>
          </w:p>
        </w:tc>
        <w:tc>
          <w:tcPr>
            <w:tcW w:w="3256"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b/>
                <w:bCs/>
                <w:color w:val="000000"/>
                <w:kern w:val="0"/>
                <w:sz w:val="20"/>
                <w:szCs w:val="21"/>
                <w:lang w:bidi="ar"/>
              </w:rPr>
              <w:t>上传数据时间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1</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健康档案</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家庭基本信息表结构</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间完成上一天增量及修改数据上传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2</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健康档案</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居民基本信息表结构</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3</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健康档案</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居民既往疾病史表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4</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健康档案</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居民既往过敏史表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5</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健康档案</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居民既往手术史表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6</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健康档案</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居民既往外伤史表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7</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健康档案</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居民既往输血史表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8</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健康档案</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住院家庭病床史表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9</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健康档案</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家族/遗传史数据表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10</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健康档案</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有毒有害接触史表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11</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健康档案</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成人健康体检表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12</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健康档案</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成人体检用药记录表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13</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慢病管理</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高血压患者登记表结构</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14</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慢病管理</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高血压患者随访表结构</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15</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慢病管理</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糖尿病患者登记表结构</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16</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慢病管理</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糖尿病患者随访表结构</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17</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老年保健</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老年自理能力评估表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18</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老年保健</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老年中医体质辩识表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1</w:t>
            </w:r>
            <w:r>
              <w:rPr>
                <w:rFonts w:ascii="宋体" w:hAnsi="宋体" w:eastAsia="宋体" w:cs="宋体"/>
                <w:color w:val="000000"/>
                <w:kern w:val="0"/>
                <w:sz w:val="20"/>
                <w:szCs w:val="21"/>
                <w:lang w:bidi="ar"/>
              </w:rPr>
              <w:t>9</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门诊数据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患者基本信息数据</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间完成上一天增量及修改数据上传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2</w:t>
            </w:r>
            <w:r>
              <w:rPr>
                <w:rFonts w:ascii="宋体" w:hAnsi="宋体" w:eastAsia="宋体" w:cs="宋体"/>
                <w:color w:val="000000"/>
                <w:kern w:val="0"/>
                <w:sz w:val="20"/>
                <w:szCs w:val="21"/>
                <w:lang w:bidi="ar"/>
              </w:rPr>
              <w:t>0</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门诊数据</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门诊急诊挂号数据</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间完成上一天数据的上传（以就诊日期为准）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21</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门诊数据</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门诊急诊就诊记录</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间完成上一天数据的上传（以就诊日期为准）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22</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门诊数据</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门诊急诊西药处方（主表）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间完成上一天数据的上传（以开处方日期为准）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23</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门诊数据</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门诊急诊西药处方（从表）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24</w:t>
            </w:r>
          </w:p>
        </w:tc>
        <w:tc>
          <w:tcPr>
            <w:tcW w:w="1203"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门诊数据</w:t>
            </w:r>
          </w:p>
        </w:tc>
        <w:tc>
          <w:tcPr>
            <w:tcW w:w="3117"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门诊急诊中药饮片处方（主表）</w:t>
            </w:r>
          </w:p>
        </w:tc>
        <w:tc>
          <w:tcPr>
            <w:tcW w:w="3256"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kern w:val="0"/>
                <w:sz w:val="20"/>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25</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门诊数据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门诊急诊中药饮片处方（从表）</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kern w:val="0"/>
                <w:sz w:val="20"/>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26</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门诊数据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门诊急诊医院收费（主表）</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间完成上一天数据的上传（以收费日期为准）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27</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门诊数据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门诊急诊医院收费（从表）</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kern w:val="0"/>
                <w:sz w:val="20"/>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28</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病人入院记录数据</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kern w:val="0"/>
                <w:sz w:val="20"/>
                <w:szCs w:val="21"/>
              </w:rPr>
              <w:t>次月1</w:t>
            </w:r>
            <w:r>
              <w:rPr>
                <w:rFonts w:ascii="宋体" w:hAnsi="宋体" w:eastAsia="宋体" w:cs="宋体"/>
                <w:kern w:val="0"/>
                <w:sz w:val="20"/>
                <w:szCs w:val="21"/>
              </w:rPr>
              <w:t>5</w:t>
            </w:r>
            <w:r>
              <w:rPr>
                <w:rFonts w:hint="eastAsia" w:ascii="宋体" w:hAnsi="宋体" w:eastAsia="宋体" w:cs="宋体"/>
                <w:kern w:val="0"/>
                <w:sz w:val="20"/>
                <w:szCs w:val="21"/>
              </w:rPr>
              <w:t>号前完成上月数据的上传</w:t>
            </w:r>
            <w:r>
              <w:rPr>
                <w:rFonts w:hint="eastAsia" w:ascii="宋体" w:hAnsi="宋体" w:eastAsia="宋体" w:cs="宋体"/>
                <w:color w:val="FF0000"/>
                <w:kern w:val="0"/>
                <w:sz w:val="20"/>
                <w:szCs w:val="21"/>
              </w:rPr>
              <w:t>（以入院日期为准，上传时间0</w:t>
            </w:r>
            <w:r>
              <w:rPr>
                <w:rFonts w:ascii="宋体" w:hAnsi="宋体" w:eastAsia="宋体" w:cs="宋体"/>
                <w:color w:val="FF0000"/>
                <w:kern w:val="0"/>
                <w:sz w:val="20"/>
                <w:szCs w:val="21"/>
              </w:rPr>
              <w:t>:15</w:t>
            </w:r>
            <w:r>
              <w:rPr>
                <w:rFonts w:hint="eastAsia" w:ascii="宋体" w:hAnsi="宋体" w:eastAsia="宋体" w:cs="宋体"/>
                <w:color w:val="FF0000"/>
                <w:kern w:val="0"/>
                <w:sz w:val="20"/>
                <w:szCs w:val="21"/>
              </w:rPr>
              <w:t>—</w:t>
            </w:r>
            <w:r>
              <w:rPr>
                <w:rFonts w:ascii="宋体" w:hAnsi="宋体" w:eastAsia="宋体" w:cs="宋体"/>
                <w:color w:val="FF0000"/>
                <w:kern w:val="0"/>
                <w:sz w:val="20"/>
                <w:szCs w:val="21"/>
              </w:rPr>
              <w:t>3</w:t>
            </w:r>
            <w:r>
              <w:rPr>
                <w:rFonts w:hint="eastAsia" w:ascii="宋体" w:hAnsi="宋体" w:eastAsia="宋体" w:cs="宋体"/>
                <w:color w:val="FF0000"/>
                <w:kern w:val="0"/>
                <w:sz w:val="20"/>
                <w:szCs w:val="21"/>
              </w:rPr>
              <w:t>:</w:t>
            </w:r>
            <w:r>
              <w:rPr>
                <w:rFonts w:ascii="宋体" w:hAnsi="宋体" w:eastAsia="宋体" w:cs="宋体"/>
                <w:color w:val="FF0000"/>
                <w:kern w:val="0"/>
                <w:sz w:val="20"/>
                <w:szCs w:val="21"/>
              </w:rPr>
              <w:t>30</w:t>
            </w:r>
            <w:r>
              <w:rPr>
                <w:rFonts w:hint="eastAsia" w:ascii="宋体" w:hAnsi="宋体" w:eastAsia="宋体" w:cs="宋体"/>
                <w:color w:val="FF0000"/>
                <w:kern w:val="0"/>
                <w:sz w:val="20"/>
                <w:szCs w:val="21"/>
              </w:rPr>
              <w:t>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29</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 xml:space="preserve">24小时入出院记录 </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kern w:val="0"/>
                <w:sz w:val="20"/>
                <w:szCs w:val="21"/>
              </w:rPr>
              <w:t>次月1</w:t>
            </w:r>
            <w:r>
              <w:rPr>
                <w:rFonts w:ascii="宋体" w:hAnsi="宋体" w:eastAsia="宋体" w:cs="宋体"/>
                <w:kern w:val="0"/>
                <w:sz w:val="20"/>
                <w:szCs w:val="21"/>
              </w:rPr>
              <w:t>5</w:t>
            </w:r>
            <w:r>
              <w:rPr>
                <w:rFonts w:hint="eastAsia" w:ascii="宋体" w:hAnsi="宋体" w:eastAsia="宋体" w:cs="宋体"/>
                <w:kern w:val="0"/>
                <w:sz w:val="20"/>
                <w:szCs w:val="21"/>
              </w:rPr>
              <w:t>号前完成上月数据的上传</w:t>
            </w:r>
            <w:r>
              <w:rPr>
                <w:rFonts w:hint="eastAsia" w:ascii="宋体" w:hAnsi="宋体" w:eastAsia="宋体" w:cs="宋体"/>
                <w:color w:val="FF0000"/>
                <w:kern w:val="0"/>
                <w:sz w:val="20"/>
                <w:szCs w:val="21"/>
              </w:rPr>
              <w:t>（以出院日期为准，上传时间0</w:t>
            </w:r>
            <w:r>
              <w:rPr>
                <w:rFonts w:ascii="宋体" w:hAnsi="宋体" w:eastAsia="宋体" w:cs="宋体"/>
                <w:color w:val="FF0000"/>
                <w:kern w:val="0"/>
                <w:sz w:val="20"/>
                <w:szCs w:val="21"/>
              </w:rPr>
              <w:t>:15</w:t>
            </w:r>
            <w:r>
              <w:rPr>
                <w:rFonts w:hint="eastAsia" w:ascii="宋体" w:hAnsi="宋体" w:eastAsia="宋体" w:cs="宋体"/>
                <w:color w:val="FF0000"/>
                <w:kern w:val="0"/>
                <w:sz w:val="20"/>
                <w:szCs w:val="21"/>
              </w:rPr>
              <w:t>—</w:t>
            </w:r>
            <w:r>
              <w:rPr>
                <w:rFonts w:ascii="宋体" w:hAnsi="宋体" w:eastAsia="宋体" w:cs="宋体"/>
                <w:color w:val="FF0000"/>
                <w:kern w:val="0"/>
                <w:sz w:val="20"/>
                <w:szCs w:val="21"/>
              </w:rPr>
              <w:t>3</w:t>
            </w:r>
            <w:r>
              <w:rPr>
                <w:rFonts w:hint="eastAsia" w:ascii="宋体" w:hAnsi="宋体" w:eastAsia="宋体" w:cs="宋体"/>
                <w:color w:val="FF0000"/>
                <w:kern w:val="0"/>
                <w:sz w:val="20"/>
                <w:szCs w:val="21"/>
              </w:rPr>
              <w:t>:</w:t>
            </w:r>
            <w:r>
              <w:rPr>
                <w:rFonts w:ascii="宋体" w:hAnsi="宋体" w:eastAsia="宋体" w:cs="宋体"/>
                <w:color w:val="FF0000"/>
                <w:kern w:val="0"/>
                <w:sz w:val="20"/>
                <w:szCs w:val="21"/>
              </w:rPr>
              <w:t>30</w:t>
            </w:r>
            <w:r>
              <w:rPr>
                <w:rFonts w:hint="eastAsia" w:ascii="宋体" w:hAnsi="宋体" w:eastAsia="宋体" w:cs="宋体"/>
                <w:color w:val="FF0000"/>
                <w:kern w:val="0"/>
                <w:sz w:val="20"/>
                <w:szCs w:val="21"/>
              </w:rPr>
              <w:t>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30</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 xml:space="preserve">住院病人长期医嘱记录 </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31</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 xml:space="preserve">住院病人临时医嘱记录 </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32</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住院病人首次病程记录</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33</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 xml:space="preserve">住院病人日常病程记录 </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34</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住院病人出院小结</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35</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西医病案首页（主表）</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36</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西医病案首页手术记录（从表）</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37</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中医病案首页（主表）</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38</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中医病案首页手术记录（从表）</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39</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病人住院费用结算（主表）</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间完成上一天数据的上传（以结算日期为准）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40</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病人住院费用明细（从表）</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kern w:val="0"/>
                <w:sz w:val="20"/>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41</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检验检查</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检验报告记录（主表）</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间完成上一天数据的上传（以出报告日期为准）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42</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检验检查</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检验结果明细（从表）</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kern w:val="0"/>
                <w:sz w:val="20"/>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43</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检验检查</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检查报告记录</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kern w:val="0"/>
                <w:sz w:val="20"/>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44</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其他数据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手术麻醉记录</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FF0000"/>
                <w:kern w:val="0"/>
                <w:sz w:val="20"/>
                <w:szCs w:val="21"/>
              </w:rPr>
              <w:t>次日0</w:t>
            </w:r>
            <w:r>
              <w:rPr>
                <w:rFonts w:ascii="宋体" w:hAnsi="宋体" w:eastAsia="宋体" w:cs="宋体"/>
                <w:color w:val="FF0000"/>
                <w:kern w:val="0"/>
                <w:sz w:val="20"/>
                <w:szCs w:val="21"/>
              </w:rPr>
              <w:t>:15</w:t>
            </w:r>
            <w:r>
              <w:rPr>
                <w:rFonts w:hint="eastAsia" w:ascii="宋体" w:hAnsi="宋体" w:eastAsia="宋体" w:cs="宋体"/>
                <w:color w:val="FF0000"/>
                <w:kern w:val="0"/>
                <w:sz w:val="20"/>
                <w:szCs w:val="21"/>
              </w:rPr>
              <w:t>—</w:t>
            </w:r>
            <w:r>
              <w:rPr>
                <w:rFonts w:ascii="宋体" w:hAnsi="宋体" w:eastAsia="宋体" w:cs="宋体"/>
                <w:color w:val="FF0000"/>
                <w:kern w:val="0"/>
                <w:sz w:val="20"/>
                <w:szCs w:val="21"/>
              </w:rPr>
              <w:t>3</w:t>
            </w:r>
            <w:r>
              <w:rPr>
                <w:rFonts w:hint="eastAsia" w:ascii="宋体" w:hAnsi="宋体" w:eastAsia="宋体" w:cs="宋体"/>
                <w:color w:val="FF0000"/>
                <w:kern w:val="0"/>
                <w:sz w:val="20"/>
                <w:szCs w:val="21"/>
              </w:rPr>
              <w:t>:</w:t>
            </w:r>
            <w:r>
              <w:rPr>
                <w:rFonts w:ascii="宋体" w:hAnsi="宋体" w:eastAsia="宋体" w:cs="宋体"/>
                <w:color w:val="FF0000"/>
                <w:kern w:val="0"/>
                <w:sz w:val="20"/>
                <w:szCs w:val="21"/>
              </w:rPr>
              <w:t>30</w:t>
            </w:r>
            <w:r>
              <w:rPr>
                <w:rFonts w:hint="eastAsia" w:ascii="宋体" w:hAnsi="宋体" w:eastAsia="宋体" w:cs="宋体"/>
                <w:color w:val="FF0000"/>
                <w:kern w:val="0"/>
                <w:sz w:val="20"/>
                <w:szCs w:val="21"/>
              </w:rPr>
              <w:t>间完成上一天数据的上传（以归档日期为准）？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45</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其他数据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治疗处置记录</w:t>
            </w:r>
          </w:p>
        </w:tc>
        <w:tc>
          <w:tcPr>
            <w:tcW w:w="3256"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kern w:val="0"/>
                <w:sz w:val="20"/>
                <w:szCs w:val="21"/>
              </w:rPr>
              <w:t>次日0</w:t>
            </w:r>
            <w:r>
              <w:rPr>
                <w:rFonts w:ascii="宋体" w:hAnsi="宋体" w:eastAsia="宋体" w:cs="宋体"/>
                <w:kern w:val="0"/>
                <w:sz w:val="20"/>
                <w:szCs w:val="21"/>
              </w:rPr>
              <w:t>:15</w:t>
            </w:r>
            <w:r>
              <w:rPr>
                <w:rFonts w:hint="eastAsia" w:ascii="宋体" w:hAnsi="宋体" w:eastAsia="宋体" w:cs="宋体"/>
                <w:kern w:val="0"/>
                <w:sz w:val="20"/>
                <w:szCs w:val="21"/>
              </w:rPr>
              <w:t>—</w:t>
            </w:r>
            <w:r>
              <w:rPr>
                <w:rFonts w:ascii="宋体" w:hAnsi="宋体" w:eastAsia="宋体" w:cs="宋体"/>
                <w:kern w:val="0"/>
                <w:sz w:val="20"/>
                <w:szCs w:val="21"/>
              </w:rPr>
              <w:t>3</w:t>
            </w:r>
            <w:r>
              <w:rPr>
                <w:rFonts w:hint="eastAsia" w:ascii="宋体" w:hAnsi="宋体" w:eastAsia="宋体" w:cs="宋体"/>
                <w:kern w:val="0"/>
                <w:sz w:val="20"/>
                <w:szCs w:val="21"/>
              </w:rPr>
              <w:t>:</w:t>
            </w:r>
            <w:r>
              <w:rPr>
                <w:rFonts w:ascii="宋体" w:hAnsi="宋体" w:eastAsia="宋体" w:cs="宋体"/>
                <w:kern w:val="0"/>
                <w:sz w:val="20"/>
                <w:szCs w:val="21"/>
              </w:rPr>
              <w:t>30</w:t>
            </w:r>
            <w:r>
              <w:rPr>
                <w:rFonts w:hint="eastAsia" w:ascii="宋体" w:hAnsi="宋体" w:eastAsia="宋体" w:cs="宋体"/>
                <w:kern w:val="0"/>
                <w:sz w:val="20"/>
                <w:szCs w:val="21"/>
              </w:rPr>
              <w:t>间完成上一天数据的上传（以治疗处置记录日期为准）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46</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其他数据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患者输血记录</w:t>
            </w:r>
          </w:p>
        </w:tc>
        <w:tc>
          <w:tcPr>
            <w:tcW w:w="3256" w:type="dxa"/>
            <w:vAlign w:val="center"/>
          </w:tcPr>
          <w:p>
            <w:pPr>
              <w:widowControl/>
              <w:jc w:val="left"/>
              <w:textAlignment w:val="center"/>
              <w:rPr>
                <w:rFonts w:ascii="宋体" w:hAnsi="宋体" w:eastAsia="宋体" w:cs="宋体"/>
                <w:color w:val="FF0000"/>
                <w:kern w:val="0"/>
                <w:sz w:val="20"/>
                <w:szCs w:val="21"/>
                <w:lang w:bidi="ar"/>
              </w:rPr>
            </w:pPr>
            <w:r>
              <w:rPr>
                <w:rFonts w:hint="eastAsia" w:ascii="宋体" w:hAnsi="宋体" w:eastAsia="宋体" w:cs="宋体"/>
                <w:color w:val="FF0000"/>
                <w:kern w:val="0"/>
                <w:sz w:val="20"/>
                <w:szCs w:val="21"/>
              </w:rPr>
              <w:t>次日0</w:t>
            </w:r>
            <w:r>
              <w:rPr>
                <w:rFonts w:ascii="宋体" w:hAnsi="宋体" w:eastAsia="宋体" w:cs="宋体"/>
                <w:color w:val="FF0000"/>
                <w:kern w:val="0"/>
                <w:sz w:val="20"/>
                <w:szCs w:val="21"/>
              </w:rPr>
              <w:t>:15</w:t>
            </w:r>
            <w:r>
              <w:rPr>
                <w:rFonts w:hint="eastAsia" w:ascii="宋体" w:hAnsi="宋体" w:eastAsia="宋体" w:cs="宋体"/>
                <w:color w:val="FF0000"/>
                <w:kern w:val="0"/>
                <w:sz w:val="20"/>
                <w:szCs w:val="21"/>
              </w:rPr>
              <w:t>—</w:t>
            </w:r>
            <w:r>
              <w:rPr>
                <w:rFonts w:ascii="宋体" w:hAnsi="宋体" w:eastAsia="宋体" w:cs="宋体"/>
                <w:color w:val="FF0000"/>
                <w:kern w:val="0"/>
                <w:sz w:val="20"/>
                <w:szCs w:val="21"/>
              </w:rPr>
              <w:t>3</w:t>
            </w:r>
            <w:r>
              <w:rPr>
                <w:rFonts w:hint="eastAsia" w:ascii="宋体" w:hAnsi="宋体" w:eastAsia="宋体" w:cs="宋体"/>
                <w:color w:val="FF0000"/>
                <w:kern w:val="0"/>
                <w:sz w:val="20"/>
                <w:szCs w:val="21"/>
              </w:rPr>
              <w:t>:</w:t>
            </w:r>
            <w:r>
              <w:rPr>
                <w:rFonts w:ascii="宋体" w:hAnsi="宋体" w:eastAsia="宋体" w:cs="宋体"/>
                <w:color w:val="FF0000"/>
                <w:kern w:val="0"/>
                <w:sz w:val="20"/>
                <w:szCs w:val="21"/>
              </w:rPr>
              <w:t>30</w:t>
            </w:r>
            <w:r>
              <w:rPr>
                <w:rFonts w:hint="eastAsia" w:ascii="宋体" w:hAnsi="宋体" w:eastAsia="宋体" w:cs="宋体"/>
                <w:color w:val="FF0000"/>
                <w:kern w:val="0"/>
                <w:sz w:val="20"/>
                <w:szCs w:val="21"/>
              </w:rPr>
              <w:t>间完成上一天数据的上传（以归档日期为准）？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47</w:t>
            </w:r>
          </w:p>
        </w:tc>
        <w:tc>
          <w:tcPr>
            <w:tcW w:w="1203"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其他数据</w:t>
            </w:r>
          </w:p>
        </w:tc>
        <w:tc>
          <w:tcPr>
            <w:tcW w:w="3117"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高值耗材使用记录</w:t>
            </w:r>
          </w:p>
        </w:tc>
        <w:tc>
          <w:tcPr>
            <w:tcW w:w="3256" w:type="dxa"/>
            <w:vAlign w:val="center"/>
          </w:tcPr>
          <w:p>
            <w:pPr>
              <w:widowControl/>
              <w:jc w:val="left"/>
              <w:textAlignment w:val="center"/>
              <w:rPr>
                <w:rFonts w:ascii="宋体" w:hAnsi="宋体" w:eastAsia="宋体" w:cs="宋体"/>
                <w:color w:val="FF0000"/>
                <w:kern w:val="0"/>
                <w:sz w:val="20"/>
                <w:szCs w:val="21"/>
                <w:lang w:bidi="ar"/>
              </w:rPr>
            </w:pPr>
            <w:r>
              <w:rPr>
                <w:rFonts w:hint="eastAsia" w:ascii="宋体" w:hAnsi="宋体" w:eastAsia="宋体" w:cs="宋体"/>
                <w:color w:val="FF0000"/>
                <w:kern w:val="0"/>
                <w:sz w:val="20"/>
                <w:szCs w:val="21"/>
              </w:rPr>
              <w:t>次日0</w:t>
            </w:r>
            <w:r>
              <w:rPr>
                <w:rFonts w:ascii="宋体" w:hAnsi="宋体" w:eastAsia="宋体" w:cs="宋体"/>
                <w:color w:val="FF0000"/>
                <w:kern w:val="0"/>
                <w:sz w:val="20"/>
                <w:szCs w:val="21"/>
              </w:rPr>
              <w:t>:15</w:t>
            </w:r>
            <w:r>
              <w:rPr>
                <w:rFonts w:hint="eastAsia" w:ascii="宋体" w:hAnsi="宋体" w:eastAsia="宋体" w:cs="宋体"/>
                <w:color w:val="FF0000"/>
                <w:kern w:val="0"/>
                <w:sz w:val="20"/>
                <w:szCs w:val="21"/>
              </w:rPr>
              <w:t>—</w:t>
            </w:r>
            <w:r>
              <w:rPr>
                <w:rFonts w:ascii="宋体" w:hAnsi="宋体" w:eastAsia="宋体" w:cs="宋体"/>
                <w:color w:val="FF0000"/>
                <w:kern w:val="0"/>
                <w:sz w:val="20"/>
                <w:szCs w:val="21"/>
              </w:rPr>
              <w:t>3</w:t>
            </w:r>
            <w:r>
              <w:rPr>
                <w:rFonts w:hint="eastAsia" w:ascii="宋体" w:hAnsi="宋体" w:eastAsia="宋体" w:cs="宋体"/>
                <w:color w:val="FF0000"/>
                <w:kern w:val="0"/>
                <w:sz w:val="20"/>
                <w:szCs w:val="21"/>
              </w:rPr>
              <w:t>:</w:t>
            </w:r>
            <w:r>
              <w:rPr>
                <w:rFonts w:ascii="宋体" w:hAnsi="宋体" w:eastAsia="宋体" w:cs="宋体"/>
                <w:color w:val="FF0000"/>
                <w:kern w:val="0"/>
                <w:sz w:val="20"/>
                <w:szCs w:val="21"/>
              </w:rPr>
              <w:t>30</w:t>
            </w:r>
            <w:r>
              <w:rPr>
                <w:rFonts w:hint="eastAsia" w:ascii="宋体" w:hAnsi="宋体" w:eastAsia="宋体" w:cs="宋体"/>
                <w:color w:val="FF0000"/>
                <w:kern w:val="0"/>
                <w:sz w:val="20"/>
                <w:szCs w:val="21"/>
              </w:rPr>
              <w:t>间完成上一天数据的上传（以归档日期为准）？</w:t>
            </w:r>
          </w:p>
        </w:tc>
      </w:tr>
    </w:tbl>
    <w:p>
      <w:pPr>
        <w:ind w:firstLine="640" w:firstLineChars="200"/>
        <w:rPr>
          <w:rFonts w:hint="eastAsia" w:ascii="仿宋_GB2312" w:hAnsi="华文中宋" w:eastAsia="仿宋_GB2312" w:cs="Times New Roman"/>
          <w:kern w:val="2"/>
          <w:sz w:val="32"/>
          <w:szCs w:val="32"/>
          <w:lang w:val="en-US" w:eastAsia="zh-CN" w:bidi="ar"/>
        </w:rPr>
      </w:pPr>
      <w:r>
        <w:rPr>
          <w:rFonts w:hint="eastAsia" w:ascii="仿宋_GB2312" w:hAnsi="华文中宋" w:eastAsia="仿宋_GB2312" w:cs="Times New Roman"/>
          <w:kern w:val="2"/>
          <w:sz w:val="32"/>
          <w:szCs w:val="32"/>
          <w:lang w:val="en-US" w:eastAsia="zh-CN" w:bidi="ar"/>
        </w:rPr>
        <w:t>上传时间说明：数据上传时间定在（0:15—3:30），。主要考虑如下二个方面，一是县/市级平台数据归集都需要时间，预留时间范围相对大一些，各市级平台可结合自身区域内情况，在3：30之前完成区域内县级平台数据归集和全市数据上传。二是各级平台数据归集都需要时间，其中省级归集数据时间在（3:45—5:30）间，需留出统计分析处理时间，以及数据共享处理时间，一般放在（5:30—7:00）间，从而不影响八点上班后平台用户的正常使用。</w:t>
      </w:r>
    </w:p>
    <w:p>
      <w:pPr>
        <w:numPr>
          <w:ilvl w:val="0"/>
          <w:numId w:val="1"/>
        </w:numPr>
        <w:spacing w:before="156" w:beforeLines="50" w:after="156" w:afterLines="50"/>
        <w:outlineLvl w:val="0"/>
        <w:rPr>
          <w:rFonts w:ascii="黑体" w:hAnsi="黑体" w:eastAsia="黑体" w:cs="黑体"/>
          <w:sz w:val="32"/>
          <w:szCs w:val="32"/>
        </w:rPr>
      </w:pPr>
      <w:r>
        <w:rPr>
          <w:rFonts w:hint="eastAsia" w:ascii="黑体" w:hAnsi="黑体" w:eastAsia="黑体" w:cs="黑体"/>
          <w:sz w:val="32"/>
          <w:szCs w:val="32"/>
        </w:rPr>
        <w:t>数据上传审核验收</w:t>
      </w:r>
    </w:p>
    <w:p>
      <w:pPr>
        <w:ind w:firstLine="640" w:firstLineChars="200"/>
        <w:rPr>
          <w:rFonts w:hint="eastAsia" w:ascii="仿宋_GB2312" w:hAnsi="华文中宋" w:eastAsia="仿宋_GB2312" w:cs="Times New Roman"/>
          <w:kern w:val="2"/>
          <w:sz w:val="32"/>
          <w:szCs w:val="32"/>
          <w:lang w:val="en-US" w:eastAsia="zh-CN" w:bidi="ar"/>
        </w:rPr>
      </w:pPr>
      <w:r>
        <w:rPr>
          <w:rFonts w:hint="eastAsia" w:ascii="仿宋_GB2312" w:hAnsi="华文中宋" w:eastAsia="仿宋_GB2312" w:cs="Times New Roman"/>
          <w:kern w:val="2"/>
          <w:sz w:val="32"/>
          <w:szCs w:val="32"/>
          <w:lang w:val="en-US" w:eastAsia="zh-CN" w:bidi="ar"/>
        </w:rPr>
        <w:t>新接地市平台，初次上传数据时，把最近一年的1月1日至1月15日（半个月）数据按要求（标准）上传到交换服务器上，共20个表作为省里检测、审核验收数据（针对业务没有开展或未建信息系统而造成不能上传数据的表单需要作出说明）。</w:t>
      </w:r>
    </w:p>
    <w:p>
      <w:pPr>
        <w:ind w:firstLine="640" w:firstLineChars="200"/>
        <w:rPr>
          <w:rFonts w:ascii="宋体" w:hAnsi="宋体" w:eastAsia="宋体" w:cs="宋体"/>
          <w:sz w:val="28"/>
          <w:szCs w:val="28"/>
        </w:rPr>
      </w:pPr>
      <w:r>
        <w:rPr>
          <w:rFonts w:hint="eastAsia" w:ascii="仿宋_GB2312" w:hAnsi="华文中宋" w:eastAsia="仿宋_GB2312" w:cs="Times New Roman"/>
          <w:kern w:val="2"/>
          <w:sz w:val="32"/>
          <w:szCs w:val="32"/>
          <w:lang w:val="en-US" w:eastAsia="zh-CN" w:bidi="ar"/>
        </w:rPr>
        <w:t>省里会对这半个月的数据进行校验与质量评估，并给出质量分析评价报告，提供给业务专家审核（注：审核会抽取业务表单同医院信息系统进行一致性比对。如：挂号数据每天上传数量要与医院信息系统统计结果一致，又如：收费数据每天上传收费金额要与医院信息系统统计结果一致），专家审核通过后，就可开始正式上传数据，</w:t>
      </w:r>
      <w:r>
        <w:rPr>
          <w:rFonts w:hint="eastAsia" w:ascii="宋体" w:hAnsi="宋体" w:eastAsia="宋体" w:cs="宋体"/>
          <w:color w:val="FF0000"/>
          <w:sz w:val="28"/>
          <w:szCs w:val="28"/>
        </w:rPr>
        <w:t>同时省里颁发数据上传对接成功证书</w:t>
      </w:r>
      <w:r>
        <w:rPr>
          <w:rFonts w:hint="eastAsia" w:ascii="宋体" w:hAnsi="宋体" w:eastAsia="宋体" w:cs="宋体"/>
          <w:sz w:val="28"/>
          <w:szCs w:val="28"/>
        </w:rPr>
        <w:t>。</w:t>
      </w:r>
      <w:r>
        <w:rPr>
          <w:rFonts w:hint="eastAsia" w:ascii="仿宋_GB2312" w:hAnsi="华文中宋" w:eastAsia="仿宋_GB2312" w:cs="Times New Roman"/>
          <w:kern w:val="2"/>
          <w:sz w:val="32"/>
          <w:szCs w:val="32"/>
          <w:lang w:val="en-US" w:eastAsia="zh-CN" w:bidi="ar"/>
        </w:rPr>
        <w:t>对于数据质量通不过审核的业务数据表单，要求医院进行整改，达到上传数据质量要求为止。</w:t>
      </w:r>
    </w:p>
    <w:p>
      <w:pPr>
        <w:numPr>
          <w:ilvl w:val="0"/>
          <w:numId w:val="1"/>
        </w:numPr>
        <w:spacing w:before="156" w:beforeLines="50" w:after="156" w:afterLines="50"/>
        <w:outlineLvl w:val="0"/>
        <w:rPr>
          <w:rFonts w:ascii="黑体" w:hAnsi="黑体" w:eastAsia="黑体" w:cs="黑体"/>
          <w:sz w:val="32"/>
          <w:szCs w:val="32"/>
        </w:rPr>
      </w:pPr>
      <w:r>
        <w:rPr>
          <w:rFonts w:hint="eastAsia" w:ascii="黑体" w:hAnsi="黑体" w:eastAsia="黑体" w:cs="黑体"/>
          <w:sz w:val="32"/>
          <w:szCs w:val="32"/>
        </w:rPr>
        <w:t>医疗数据补传要求</w:t>
      </w:r>
    </w:p>
    <w:p>
      <w:pPr>
        <w:ind w:firstLine="600" w:firstLineChars="200"/>
        <w:outlineLvl w:val="1"/>
        <w:rPr>
          <w:rFonts w:ascii="黑体" w:hAnsi="黑体" w:eastAsia="黑体" w:cs="宋体"/>
          <w:sz w:val="30"/>
          <w:szCs w:val="30"/>
        </w:rPr>
      </w:pPr>
      <w:r>
        <w:rPr>
          <w:rFonts w:hint="eastAsia" w:ascii="黑体" w:hAnsi="黑体" w:eastAsia="黑体" w:cs="宋体"/>
          <w:sz w:val="30"/>
          <w:szCs w:val="30"/>
        </w:rPr>
        <w:t>（1）历史数据补传</w:t>
      </w:r>
    </w:p>
    <w:p>
      <w:pPr>
        <w:ind w:firstLine="640" w:firstLineChars="200"/>
        <w:rPr>
          <w:rFonts w:ascii="宋体" w:hAnsi="宋体" w:eastAsia="宋体" w:cs="宋体"/>
          <w:sz w:val="28"/>
          <w:szCs w:val="28"/>
        </w:rPr>
      </w:pPr>
      <w:r>
        <w:rPr>
          <w:rFonts w:hint="eastAsia" w:ascii="仿宋_GB2312" w:hAnsi="华文中宋" w:eastAsia="仿宋_GB2312" w:cs="Times New Roman"/>
          <w:kern w:val="2"/>
          <w:sz w:val="32"/>
          <w:szCs w:val="32"/>
          <w:lang w:val="en-US" w:eastAsia="zh-CN" w:bidi="ar"/>
        </w:rPr>
        <w:t>审核通过上传数据质量验收后，要求补传从2020年1月1日</w:t>
      </w:r>
      <w:r>
        <w:rPr>
          <w:rFonts w:hint="eastAsia" w:ascii="宋体" w:hAnsi="宋体" w:eastAsia="宋体" w:cs="宋体"/>
          <w:color w:val="FF0000"/>
          <w:sz w:val="28"/>
          <w:szCs w:val="28"/>
        </w:rPr>
        <w:t>（具体时间由卫健委确定）</w:t>
      </w:r>
      <w:r>
        <w:rPr>
          <w:rFonts w:hint="eastAsia" w:ascii="仿宋_GB2312" w:hAnsi="华文中宋" w:eastAsia="仿宋_GB2312" w:cs="Times New Roman"/>
          <w:kern w:val="2"/>
          <w:sz w:val="32"/>
          <w:szCs w:val="32"/>
          <w:lang w:val="en-US" w:eastAsia="zh-CN" w:bidi="ar"/>
        </w:rPr>
        <w:t>开始到现在的数据。</w:t>
      </w:r>
    </w:p>
    <w:p>
      <w:pPr>
        <w:ind w:firstLine="560" w:firstLineChars="200"/>
        <w:rPr>
          <w:rFonts w:ascii="宋体" w:hAnsi="宋体" w:eastAsia="宋体" w:cs="宋体"/>
          <w:color w:val="FF0000"/>
          <w:sz w:val="28"/>
          <w:szCs w:val="28"/>
        </w:rPr>
      </w:pPr>
      <w:r>
        <w:rPr>
          <w:rFonts w:hint="eastAsia" w:ascii="宋体" w:hAnsi="宋体" w:eastAsia="宋体" w:cs="宋体"/>
          <w:color w:val="FF0000"/>
          <w:sz w:val="28"/>
          <w:szCs w:val="28"/>
        </w:rPr>
        <w:t>注意：首次补传历史数据时，要把“居民基本信息表结构”数据全量上传。</w:t>
      </w:r>
    </w:p>
    <w:p>
      <w:pPr>
        <w:ind w:firstLine="600" w:firstLineChars="200"/>
        <w:outlineLvl w:val="1"/>
        <w:rPr>
          <w:rFonts w:ascii="黑体" w:hAnsi="黑体" w:eastAsia="黑体" w:cs="宋体"/>
          <w:sz w:val="30"/>
          <w:szCs w:val="30"/>
        </w:rPr>
      </w:pPr>
      <w:r>
        <w:rPr>
          <w:rFonts w:hint="eastAsia" w:ascii="黑体" w:hAnsi="黑体" w:eastAsia="黑体" w:cs="宋体"/>
          <w:sz w:val="30"/>
          <w:szCs w:val="30"/>
        </w:rPr>
        <w:t>（2）漏传数据补传</w:t>
      </w:r>
    </w:p>
    <w:p>
      <w:pPr>
        <w:ind w:firstLine="640" w:firstLineChars="200"/>
        <w:rPr>
          <w:rFonts w:hint="eastAsia" w:ascii="仿宋_GB2312" w:hAnsi="华文中宋" w:eastAsia="仿宋_GB2312" w:cs="Times New Roman"/>
          <w:kern w:val="2"/>
          <w:sz w:val="32"/>
          <w:szCs w:val="32"/>
          <w:lang w:val="en-US" w:eastAsia="zh-CN" w:bidi="ar"/>
        </w:rPr>
      </w:pPr>
      <w:r>
        <w:rPr>
          <w:rFonts w:hint="eastAsia" w:ascii="仿宋_GB2312" w:hAnsi="华文中宋" w:eastAsia="仿宋_GB2312" w:cs="Times New Roman"/>
          <w:kern w:val="2"/>
          <w:sz w:val="32"/>
          <w:szCs w:val="32"/>
          <w:lang w:val="en-US" w:eastAsia="zh-CN" w:bidi="ar"/>
        </w:rPr>
        <w:t>当发现由于网络或信息系统故障造成全部或部分业务表单某个时间段没有上传数据时，需要把没有上传的业务表单数据把缺失时间段的数据补传。</w:t>
      </w:r>
    </w:p>
    <w:p>
      <w:pPr>
        <w:numPr>
          <w:ilvl w:val="0"/>
          <w:numId w:val="1"/>
        </w:numPr>
        <w:spacing w:before="156" w:beforeLines="50" w:after="156" w:afterLines="50"/>
        <w:rPr>
          <w:rFonts w:ascii="黑体" w:hAnsi="黑体" w:eastAsia="黑体" w:cs="黑体"/>
          <w:sz w:val="32"/>
          <w:szCs w:val="32"/>
        </w:rPr>
      </w:pPr>
      <w:r>
        <w:rPr>
          <w:rFonts w:hint="eastAsia" w:ascii="黑体" w:hAnsi="黑体" w:eastAsia="黑体" w:cs="黑体"/>
          <w:sz w:val="32"/>
          <w:szCs w:val="32"/>
        </w:rPr>
        <w:t>每天正常定时上传</w:t>
      </w:r>
    </w:p>
    <w:p>
      <w:pPr>
        <w:ind w:firstLine="640" w:firstLineChars="200"/>
        <w:rPr>
          <w:rFonts w:ascii="宋体" w:hAnsi="宋体" w:eastAsia="宋体" w:cs="宋体"/>
          <w:sz w:val="28"/>
          <w:szCs w:val="28"/>
        </w:rPr>
      </w:pPr>
      <w:r>
        <w:rPr>
          <w:rFonts w:hint="eastAsia" w:ascii="仿宋_GB2312" w:hAnsi="华文中宋" w:eastAsia="仿宋_GB2312" w:cs="Times New Roman"/>
          <w:kern w:val="2"/>
          <w:sz w:val="32"/>
          <w:szCs w:val="32"/>
          <w:lang w:val="en-US" w:eastAsia="zh-CN" w:bidi="ar"/>
        </w:rPr>
        <w:t>历史数据补传完成后则进入每天正常定时上传数据阶段，只需要根据业务表单上传时间要求定时（0:15—3:30间）进行上传。</w:t>
      </w:r>
    </w:p>
    <w:p>
      <w:pPr>
        <w:numPr>
          <w:ilvl w:val="0"/>
          <w:numId w:val="1"/>
        </w:numPr>
        <w:spacing w:before="156" w:beforeLines="50" w:after="156" w:afterLines="50"/>
        <w:rPr>
          <w:rFonts w:ascii="黑体" w:hAnsi="黑体" w:eastAsia="黑体" w:cs="黑体"/>
          <w:sz w:val="32"/>
          <w:szCs w:val="32"/>
        </w:rPr>
      </w:pPr>
      <w:r>
        <w:rPr>
          <w:rFonts w:hint="eastAsia" w:ascii="黑体" w:hAnsi="黑体" w:eastAsia="黑体" w:cs="黑体"/>
          <w:sz w:val="32"/>
          <w:szCs w:val="32"/>
        </w:rPr>
        <w:t>医疗数据重传规则</w:t>
      </w:r>
    </w:p>
    <w:p>
      <w:pPr>
        <w:ind w:firstLine="640" w:firstLineChars="200"/>
        <w:rPr>
          <w:rFonts w:ascii="宋体" w:hAnsi="宋体" w:eastAsia="宋体" w:cs="宋体"/>
          <w:sz w:val="28"/>
          <w:szCs w:val="28"/>
        </w:rPr>
      </w:pPr>
      <w:r>
        <w:rPr>
          <w:rFonts w:hint="eastAsia" w:ascii="仿宋_GB2312" w:hAnsi="华文中宋" w:eastAsia="仿宋_GB2312" w:cs="Times New Roman"/>
          <w:kern w:val="2"/>
          <w:sz w:val="32"/>
          <w:szCs w:val="32"/>
          <w:lang w:val="en-US" w:eastAsia="zh-CN" w:bidi="ar"/>
        </w:rPr>
        <w:t>当发现上传数据全部业务表单或部分业务表单某个时间段数据有错误时，地市平台可以提出申请（包含表名、数据时间段、机构统一信用代码、错误描述），请求省里删除全部业务表单或部分业务表单某个时间段的数据（提交申请表），在省里答复同意（即根据申请删除错误数据，做好重传准备工作后），地市就可以重传数据。</w:t>
      </w:r>
    </w:p>
    <w:p>
      <w:pPr>
        <w:numPr>
          <w:ilvl w:val="0"/>
          <w:numId w:val="1"/>
        </w:numPr>
        <w:spacing w:before="156" w:beforeLines="50" w:after="156" w:afterLines="50"/>
        <w:rPr>
          <w:rFonts w:ascii="黑体" w:hAnsi="黑体" w:eastAsia="黑体" w:cs="黑体"/>
          <w:sz w:val="32"/>
          <w:szCs w:val="32"/>
        </w:rPr>
      </w:pPr>
      <w:r>
        <w:rPr>
          <w:rFonts w:hint="eastAsia" w:ascii="黑体" w:hAnsi="黑体" w:eastAsia="黑体" w:cs="黑体"/>
          <w:sz w:val="32"/>
          <w:szCs w:val="32"/>
        </w:rPr>
        <w:t>数据上传注意事项</w:t>
      </w:r>
    </w:p>
    <w:p>
      <w:pPr>
        <w:ind w:firstLine="640" w:firstLineChars="200"/>
        <w:rPr>
          <w:rFonts w:hint="eastAsia" w:ascii="仿宋_GB2312" w:hAnsi="华文中宋" w:eastAsia="仿宋_GB2312" w:cs="Times New Roman"/>
          <w:kern w:val="2"/>
          <w:sz w:val="32"/>
          <w:szCs w:val="32"/>
          <w:lang w:val="en-US" w:eastAsia="zh-CN" w:bidi="ar"/>
        </w:rPr>
      </w:pPr>
      <w:r>
        <w:rPr>
          <w:rFonts w:hint="eastAsia" w:ascii="仿宋_GB2312" w:hAnsi="华文中宋" w:eastAsia="仿宋_GB2312" w:cs="Times New Roman"/>
          <w:kern w:val="2"/>
          <w:sz w:val="32"/>
          <w:szCs w:val="32"/>
          <w:lang w:val="en-US" w:eastAsia="zh-CN" w:bidi="ar"/>
        </w:rPr>
        <w:t>针对不同的医疗业务数据表单上传时需要注意如下事项：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3079"/>
        <w:gridCol w:w="4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vAlign w:val="center"/>
          </w:tcPr>
          <w:p>
            <w:pPr>
              <w:widowControl/>
              <w:jc w:val="center"/>
              <w:textAlignment w:val="center"/>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数据上传注意事项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b/>
                <w:bCs/>
                <w:color w:val="000000"/>
                <w:kern w:val="0"/>
                <w:sz w:val="20"/>
                <w:szCs w:val="21"/>
                <w:lang w:bidi="ar"/>
              </w:rPr>
              <w:t>序号</w:t>
            </w:r>
          </w:p>
        </w:tc>
        <w:tc>
          <w:tcPr>
            <w:tcW w:w="3079"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b/>
                <w:bCs/>
                <w:color w:val="000000"/>
                <w:kern w:val="0"/>
                <w:sz w:val="20"/>
                <w:szCs w:val="21"/>
                <w:lang w:bidi="ar"/>
              </w:rPr>
              <w:t>中文名称</w:t>
            </w:r>
          </w:p>
        </w:tc>
        <w:tc>
          <w:tcPr>
            <w:tcW w:w="4704" w:type="dxa"/>
            <w:vAlign w:val="center"/>
          </w:tcPr>
          <w:p>
            <w:pPr>
              <w:widowControl/>
              <w:jc w:val="center"/>
              <w:textAlignment w:val="center"/>
              <w:rPr>
                <w:rFonts w:ascii="宋体" w:hAnsi="宋体" w:eastAsia="宋体" w:cs="宋体"/>
                <w:b/>
                <w:bCs/>
                <w:color w:val="000000"/>
                <w:kern w:val="0"/>
                <w:sz w:val="20"/>
                <w:szCs w:val="21"/>
                <w:lang w:bidi="ar"/>
              </w:rPr>
            </w:pPr>
            <w:r>
              <w:rPr>
                <w:rFonts w:hint="eastAsia" w:ascii="宋体" w:hAnsi="宋体" w:eastAsia="宋体" w:cs="宋体"/>
                <w:b/>
                <w:bCs/>
                <w:color w:val="000000"/>
                <w:kern w:val="0"/>
                <w:sz w:val="20"/>
                <w:szCs w:val="21"/>
                <w:lang w:bidi="ar"/>
              </w:rPr>
              <w:t>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1</w:t>
            </w:r>
          </w:p>
        </w:tc>
        <w:tc>
          <w:tcPr>
            <w:tcW w:w="3079" w:type="dxa"/>
            <w:vAlign w:val="center"/>
          </w:tcPr>
          <w:p>
            <w:pPr>
              <w:widowControl/>
              <w:jc w:val="left"/>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患者基本信息数据表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患者证件类型、患者证件号码、登记医疗机构编码</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2</w:t>
            </w:r>
          </w:p>
        </w:tc>
        <w:tc>
          <w:tcPr>
            <w:tcW w:w="3079" w:type="dxa"/>
            <w:vAlign w:val="center"/>
          </w:tcPr>
          <w:p>
            <w:pPr>
              <w:widowControl/>
              <w:jc w:val="left"/>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门诊/急诊挂号数据表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p>
            <w:pPr>
              <w:widowControl/>
              <w:jc w:val="left"/>
              <w:textAlignment w:val="center"/>
              <w:rPr>
                <w:rFonts w:ascii="宋体" w:hAnsi="宋体" w:eastAsia="宋体" w:cs="宋体"/>
                <w:color w:val="000000" w:themeColor="text1"/>
                <w:kern w:val="0"/>
                <w:sz w:val="20"/>
                <w:szCs w:val="21"/>
                <w14:textFill>
                  <w14:solidFill>
                    <w14:schemeClr w14:val="tx1"/>
                  </w14:solidFill>
                </w14:textFill>
              </w:rPr>
            </w:pPr>
            <w:r>
              <w:rPr>
                <w:rFonts w:hint="eastAsia" w:ascii="宋体" w:hAnsi="宋体" w:eastAsia="宋体" w:cs="宋体"/>
                <w:b/>
                <w:bCs/>
                <w:color w:val="000000" w:themeColor="text1"/>
                <w:kern w:val="0"/>
                <w:sz w:val="20"/>
                <w:szCs w:val="21"/>
                <w14:textFill>
                  <w14:solidFill>
                    <w14:schemeClr w14:val="tx1"/>
                  </w14:solidFill>
                </w14:textFill>
              </w:rPr>
              <w:t>统计</w:t>
            </w:r>
            <w:r>
              <w:rPr>
                <w:rFonts w:hint="eastAsia" w:ascii="宋体" w:hAnsi="宋体" w:eastAsia="宋体" w:cs="宋体"/>
                <w:color w:val="000000" w:themeColor="text1"/>
                <w:kern w:val="0"/>
                <w:sz w:val="20"/>
                <w:szCs w:val="21"/>
                <w14:textFill>
                  <w14:solidFill>
                    <w14:schemeClr w14:val="tx1"/>
                  </w14:solidFill>
                </w14:textFill>
              </w:rPr>
              <w:t>：“挂号类别代码、</w:t>
            </w:r>
            <w:r>
              <w:rPr>
                <w:rFonts w:hint="eastAsia" w:ascii="Times New Roman" w:hAnsi="Times New Roman" w:eastAsia="宋体" w:cs="Times New Roman"/>
                <w:kern w:val="0"/>
                <w:sz w:val="20"/>
              </w:rPr>
              <w:t>患者就诊类型</w:t>
            </w:r>
            <w:r>
              <w:rPr>
                <w:rFonts w:hint="eastAsia" w:ascii="宋体" w:hAnsi="宋体" w:eastAsia="宋体" w:cs="宋体"/>
                <w:color w:val="000000" w:themeColor="text1"/>
                <w:kern w:val="0"/>
                <w:sz w:val="20"/>
                <w:szCs w:val="21"/>
                <w14:textFill>
                  <w14:solidFill>
                    <w14:schemeClr w14:val="tx1"/>
                  </w14:solidFill>
                </w14:textFill>
              </w:rPr>
              <w:t>、预约挂号标识、互联网挂号标识、退号标识”涉及统计须填写正确。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3</w:t>
            </w:r>
          </w:p>
        </w:tc>
        <w:tc>
          <w:tcPr>
            <w:tcW w:w="3079" w:type="dxa"/>
            <w:vAlign w:val="center"/>
          </w:tcPr>
          <w:p>
            <w:pPr>
              <w:widowControl/>
              <w:jc w:val="left"/>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门诊/急诊就诊记录表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p>
            <w:pPr>
              <w:widowControl/>
              <w:jc w:val="left"/>
              <w:textAlignment w:val="center"/>
              <w:rPr>
                <w:rFonts w:ascii="宋体" w:hAnsi="宋体" w:eastAsia="宋体" w:cs="宋体"/>
                <w:color w:val="000000" w:themeColor="text1"/>
                <w:kern w:val="0"/>
                <w:sz w:val="20"/>
                <w:szCs w:val="21"/>
                <w14:textFill>
                  <w14:solidFill>
                    <w14:schemeClr w14:val="tx1"/>
                  </w14:solidFill>
                </w14:textFill>
              </w:rPr>
            </w:pPr>
            <w:r>
              <w:rPr>
                <w:rFonts w:hint="eastAsia" w:ascii="宋体" w:hAnsi="宋体" w:eastAsia="宋体" w:cs="宋体"/>
                <w:b/>
                <w:bCs/>
                <w:color w:val="000000" w:themeColor="text1"/>
                <w:kern w:val="0"/>
                <w:sz w:val="20"/>
                <w:szCs w:val="21"/>
                <w14:textFill>
                  <w14:solidFill>
                    <w14:schemeClr w14:val="tx1"/>
                  </w14:solidFill>
                </w14:textFill>
              </w:rPr>
              <w:t>共享</w:t>
            </w:r>
            <w:r>
              <w:rPr>
                <w:rFonts w:hint="eastAsia" w:ascii="宋体" w:hAnsi="宋体" w:eastAsia="宋体" w:cs="宋体"/>
                <w:color w:val="000000" w:themeColor="text1"/>
                <w:kern w:val="0"/>
                <w:sz w:val="20"/>
                <w:szCs w:val="21"/>
                <w14:textFill>
                  <w14:solidFill>
                    <w14:schemeClr w14:val="tx1"/>
                  </w14:solidFill>
                </w14:textFill>
              </w:rPr>
              <w:t>：“西医主要诊断疾病编码”尽可能填写正确，涉及信息共享提取。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4</w:t>
            </w:r>
          </w:p>
        </w:tc>
        <w:tc>
          <w:tcPr>
            <w:tcW w:w="3079" w:type="dxa"/>
            <w:vAlign w:val="center"/>
          </w:tcPr>
          <w:p>
            <w:pPr>
              <w:widowControl/>
              <w:jc w:val="left"/>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门诊/急诊西药处方表（主表）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患者证件类型、患者证件号码、就诊医疗机构编码、患者就诊类型、患者就诊编号、处方编号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宋体"/>
                <w:b/>
                <w:bCs/>
                <w:color w:val="000000" w:themeColor="text1"/>
                <w:kern w:val="0"/>
                <w:sz w:val="20"/>
                <w:szCs w:val="21"/>
                <w14:textFill>
                  <w14:solidFill>
                    <w14:schemeClr w14:val="tx1"/>
                  </w14:solidFill>
                </w14:textFill>
              </w:rPr>
              <w:t>关联</w:t>
            </w:r>
            <w:r>
              <w:rPr>
                <w:rFonts w:hint="eastAsia" w:ascii="宋体" w:hAnsi="宋体" w:eastAsia="宋体" w:cs="宋体"/>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“患者证件类型、患者证件号码、就诊医疗机构编码、患者就诊类型、患者就诊编号”同就诊记录关联。</w:t>
            </w:r>
          </w:p>
          <w:p>
            <w:pPr>
              <w:widowControl/>
              <w:jc w:val="left"/>
              <w:textAlignment w:val="center"/>
              <w:rPr>
                <w:rFonts w:ascii="宋体" w:hAnsi="宋体" w:eastAsia="宋体" w:cs="宋体"/>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统计</w:t>
            </w:r>
            <w:r>
              <w:rPr>
                <w:rFonts w:hint="eastAsia" w:ascii="宋体" w:hAnsi="宋体" w:eastAsia="宋体" w:cs="Times New Roman"/>
                <w:color w:val="000000" w:themeColor="text1"/>
                <w:kern w:val="0"/>
                <w:sz w:val="20"/>
                <w:szCs w:val="21"/>
                <w14:textFill>
                  <w14:solidFill>
                    <w14:schemeClr w14:val="tx1"/>
                  </w14:solidFill>
                </w14:textFill>
              </w:rPr>
              <w:t>：“处方分类代码、互联网处方标识、是否属于中药处方、是否用于输液、是否使用抗生素、是否使用基药</w:t>
            </w:r>
            <w:r>
              <w:rPr>
                <w:rFonts w:ascii="宋体" w:hAnsi="宋体" w:eastAsia="宋体" w:cs="Times New Roman"/>
                <w:color w:val="000000" w:themeColor="text1"/>
                <w:kern w:val="0"/>
                <w:sz w:val="20"/>
                <w:szCs w:val="21"/>
                <w14:textFill>
                  <w14:solidFill>
                    <w14:schemeClr w14:val="tx1"/>
                  </w14:solidFill>
                </w14:textFill>
              </w:rPr>
              <w:t>”</w:t>
            </w:r>
            <w:r>
              <w:rPr>
                <w:rFonts w:hint="eastAsia" w:ascii="宋体" w:hAnsi="宋体" w:eastAsia="宋体" w:cs="宋体"/>
                <w:color w:val="000000" w:themeColor="text1"/>
                <w:kern w:val="0"/>
                <w:sz w:val="20"/>
                <w:szCs w:val="21"/>
                <w14:textFill>
                  <w14:solidFill>
                    <w14:schemeClr w14:val="tx1"/>
                  </w14:solidFill>
                </w14:textFill>
              </w:rPr>
              <w:t>涉及统计须填写正确。</w:t>
            </w:r>
          </w:p>
          <w:p>
            <w:pPr>
              <w:widowControl/>
              <w:jc w:val="left"/>
              <w:textAlignment w:val="center"/>
              <w:rPr>
                <w:rFonts w:ascii="宋体" w:hAnsi="宋体" w:eastAsia="宋体" w:cs="宋体"/>
                <w:color w:val="000000" w:themeColor="text1"/>
                <w:kern w:val="0"/>
                <w:sz w:val="20"/>
                <w:szCs w:val="21"/>
                <w14:textFill>
                  <w14:solidFill>
                    <w14:schemeClr w14:val="tx1"/>
                  </w14:solidFill>
                </w14:textFill>
              </w:rPr>
            </w:pPr>
            <w:r>
              <w:rPr>
                <w:rFonts w:hint="eastAsia" w:ascii="宋体" w:hAnsi="宋体" w:eastAsia="宋体" w:cs="宋体"/>
                <w:b/>
                <w:bCs/>
                <w:color w:val="000000" w:themeColor="text1"/>
                <w:kern w:val="0"/>
                <w:sz w:val="20"/>
                <w:szCs w:val="21"/>
                <w14:textFill>
                  <w14:solidFill>
                    <w14:schemeClr w14:val="tx1"/>
                  </w14:solidFill>
                </w14:textFill>
              </w:rPr>
              <w:t>校验</w:t>
            </w:r>
            <w:r>
              <w:rPr>
                <w:rFonts w:hint="eastAsia" w:ascii="宋体" w:hAnsi="宋体" w:eastAsia="宋体" w:cs="宋体"/>
                <w:color w:val="000000" w:themeColor="text1"/>
                <w:kern w:val="0"/>
                <w:sz w:val="20"/>
                <w:szCs w:val="21"/>
                <w14:textFill>
                  <w14:solidFill>
                    <w14:schemeClr w14:val="tx1"/>
                  </w14:solidFill>
                </w14:textFill>
              </w:rPr>
              <w:t>：处方总价等于处方明细价之和。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5</w:t>
            </w:r>
          </w:p>
        </w:tc>
        <w:tc>
          <w:tcPr>
            <w:tcW w:w="3079" w:type="dxa"/>
            <w:vAlign w:val="center"/>
          </w:tcPr>
          <w:p>
            <w:pPr>
              <w:widowControl/>
              <w:jc w:val="left"/>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门诊/急诊西药处方表（从表）</w:t>
            </w:r>
          </w:p>
        </w:tc>
        <w:tc>
          <w:tcPr>
            <w:tcW w:w="4704" w:type="dxa"/>
            <w:vAlign w:val="center"/>
          </w:tcPr>
          <w:p>
            <w:pPr>
              <w:widowControl/>
              <w:jc w:val="left"/>
              <w:textAlignment w:val="center"/>
              <w:rPr>
                <w:rFonts w:ascii="宋体" w:hAnsi="宋体" w:eastAsia="宋体" w:cs="宋体"/>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患者证件类型、患者证件号码、就诊医疗机构编码、患者就诊类型、患者就诊编号、处方编号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lang w:bidi="ar"/>
              </w:rPr>
              <w:t>6</w:t>
            </w:r>
          </w:p>
        </w:tc>
        <w:tc>
          <w:tcPr>
            <w:tcW w:w="3079" w:type="dxa"/>
            <w:vAlign w:val="center"/>
          </w:tcPr>
          <w:p>
            <w:pPr>
              <w:widowControl/>
              <w:jc w:val="left"/>
              <w:textAlignment w:val="center"/>
              <w:rPr>
                <w:rFonts w:ascii="宋体" w:hAnsi="宋体" w:eastAsia="宋体" w:cs="宋体"/>
                <w:kern w:val="0"/>
                <w:sz w:val="20"/>
                <w:szCs w:val="21"/>
              </w:rPr>
            </w:pPr>
            <w:r>
              <w:rPr>
                <w:rFonts w:ascii="宋体" w:hAnsi="宋体" w:eastAsia="宋体" w:cs="宋体"/>
                <w:color w:val="000000"/>
                <w:kern w:val="0"/>
                <w:sz w:val="20"/>
                <w:szCs w:val="21"/>
                <w:lang w:bidi="ar"/>
              </w:rPr>
              <w:t>门诊/急诊中药饮片处方表（主表）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患者证件类型、患者证件号码、就诊医疗机构编码、患者就诊类型、患者就诊编号、处方编号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宋体"/>
                <w:b/>
                <w:bCs/>
                <w:color w:val="000000" w:themeColor="text1"/>
                <w:kern w:val="0"/>
                <w:sz w:val="20"/>
                <w:szCs w:val="21"/>
                <w14:textFill>
                  <w14:solidFill>
                    <w14:schemeClr w14:val="tx1"/>
                  </w14:solidFill>
                </w14:textFill>
              </w:rPr>
              <w:t>关联</w:t>
            </w:r>
            <w:r>
              <w:rPr>
                <w:rFonts w:hint="eastAsia" w:ascii="宋体" w:hAnsi="宋体" w:eastAsia="宋体" w:cs="宋体"/>
                <w:color w:val="000000" w:themeColor="text1"/>
                <w:kern w:val="0"/>
                <w:sz w:val="20"/>
                <w:szCs w:val="21"/>
                <w14:textFill>
                  <w14:solidFill>
                    <w14:schemeClr w14:val="tx1"/>
                  </w14:solidFill>
                </w14:textFill>
              </w:rPr>
              <w:t>：</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w:t>
            </w:r>
            <w:r>
              <w:rPr>
                <w:rFonts w:hint="eastAsia" w:ascii="宋体" w:hAnsi="宋体" w:eastAsia="宋体" w:cs="Times New Roman"/>
                <w:color w:val="000000" w:themeColor="text1"/>
                <w:kern w:val="0"/>
                <w:sz w:val="20"/>
                <w:szCs w:val="21"/>
                <w14:textFill>
                  <w14:solidFill>
                    <w14:schemeClr w14:val="tx1"/>
                  </w14:solidFill>
                </w14:textFill>
              </w:rPr>
              <w:t>”同就诊记录关联。</w:t>
            </w:r>
          </w:p>
          <w:p>
            <w:pPr>
              <w:widowControl/>
              <w:jc w:val="left"/>
              <w:textAlignment w:val="center"/>
              <w:rPr>
                <w:rFonts w:ascii="宋体" w:hAnsi="宋体" w:eastAsia="宋体" w:cs="宋体"/>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统计</w:t>
            </w:r>
            <w:r>
              <w:rPr>
                <w:rFonts w:hint="eastAsia" w:ascii="宋体" w:hAnsi="宋体" w:eastAsia="宋体" w:cs="Times New Roman"/>
                <w:color w:val="000000" w:themeColor="text1"/>
                <w:kern w:val="0"/>
                <w:sz w:val="20"/>
                <w:szCs w:val="21"/>
                <w14:textFill>
                  <w14:solidFill>
                    <w14:schemeClr w14:val="tx1"/>
                  </w14:solidFill>
                </w14:textFill>
              </w:rPr>
              <w:t>：“处方分类代码”</w:t>
            </w:r>
            <w:r>
              <w:rPr>
                <w:rFonts w:hint="eastAsia" w:ascii="宋体" w:hAnsi="宋体" w:eastAsia="宋体" w:cs="宋体"/>
                <w:color w:val="000000" w:themeColor="text1"/>
                <w:kern w:val="0"/>
                <w:sz w:val="20"/>
                <w:szCs w:val="21"/>
                <w14:textFill>
                  <w14:solidFill>
                    <w14:schemeClr w14:val="tx1"/>
                  </w14:solidFill>
                </w14:textFill>
              </w:rPr>
              <w:t>涉及统计须填写正确。</w:t>
            </w:r>
          </w:p>
          <w:p>
            <w:pPr>
              <w:widowControl/>
              <w:jc w:val="left"/>
              <w:textAlignment w:val="center"/>
              <w:rPr>
                <w:rFonts w:ascii="宋体" w:hAnsi="宋体" w:eastAsia="宋体" w:cs="宋体"/>
                <w:color w:val="000000" w:themeColor="text1"/>
                <w:kern w:val="0"/>
                <w:sz w:val="20"/>
                <w:szCs w:val="21"/>
                <w14:textFill>
                  <w14:solidFill>
                    <w14:schemeClr w14:val="tx1"/>
                  </w14:solidFill>
                </w14:textFill>
              </w:rPr>
            </w:pPr>
            <w:r>
              <w:rPr>
                <w:rFonts w:hint="eastAsia" w:ascii="宋体" w:hAnsi="宋体" w:eastAsia="宋体" w:cs="宋体"/>
                <w:b/>
                <w:bCs/>
                <w:color w:val="000000" w:themeColor="text1"/>
                <w:kern w:val="0"/>
                <w:sz w:val="20"/>
                <w:szCs w:val="21"/>
                <w14:textFill>
                  <w14:solidFill>
                    <w14:schemeClr w14:val="tx1"/>
                  </w14:solidFill>
                </w14:textFill>
              </w:rPr>
              <w:t>校验</w:t>
            </w:r>
            <w:r>
              <w:rPr>
                <w:rFonts w:hint="eastAsia" w:ascii="宋体" w:hAnsi="宋体" w:eastAsia="宋体" w:cs="宋体"/>
                <w:color w:val="000000" w:themeColor="text1"/>
                <w:kern w:val="0"/>
                <w:sz w:val="20"/>
                <w:szCs w:val="21"/>
                <w14:textFill>
                  <w14:solidFill>
                    <w14:schemeClr w14:val="tx1"/>
                  </w14:solidFill>
                </w14:textFill>
              </w:rPr>
              <w:t>：处方总价等于处方明细价之和。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7</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门诊/急诊中药饮片处方表（从表）</w:t>
            </w:r>
          </w:p>
        </w:tc>
        <w:tc>
          <w:tcPr>
            <w:tcW w:w="4704" w:type="dxa"/>
            <w:vAlign w:val="center"/>
          </w:tcPr>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患者证件类型、患者证件号码、就诊医疗机构编码、患者就诊类型、患者就诊编号、处方编号、医院中药饮片编码”组合唯一。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8</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门诊/急诊费用表（主表）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患者证件类型、患者证件号码、就诊医疗机构编码、患者就诊类型、患者就诊编号、结算流水号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关联</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“患者证件类型、患者证件号码、就诊医疗机构编码、患者就诊类型、患者就诊编号”同就诊记录关联。</w:t>
            </w:r>
          </w:p>
          <w:p>
            <w:pPr>
              <w:widowControl/>
              <w:jc w:val="left"/>
              <w:textAlignment w:val="center"/>
              <w:rPr>
                <w:rFonts w:ascii="宋体" w:hAnsi="宋体" w:eastAsia="宋体" w:cs="宋体"/>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统计</w:t>
            </w:r>
            <w:r>
              <w:rPr>
                <w:rFonts w:hint="eastAsia" w:ascii="宋体" w:hAnsi="宋体" w:eastAsia="宋体" w:cs="Times New Roman"/>
                <w:color w:val="000000" w:themeColor="text1"/>
                <w:kern w:val="0"/>
                <w:sz w:val="20"/>
                <w:szCs w:val="21"/>
                <w14:textFill>
                  <w14:solidFill>
                    <w14:schemeClr w14:val="tx1"/>
                  </w14:solidFill>
                </w14:textFill>
              </w:rPr>
              <w:t>：“医疗付费方式代码、移动支付标识、互联网收费标识”</w:t>
            </w:r>
            <w:r>
              <w:rPr>
                <w:rFonts w:hint="eastAsia" w:ascii="宋体" w:hAnsi="宋体" w:eastAsia="宋体" w:cs="宋体"/>
                <w:color w:val="000000" w:themeColor="text1"/>
                <w:kern w:val="0"/>
                <w:sz w:val="20"/>
                <w:szCs w:val="21"/>
                <w14:textFill>
                  <w14:solidFill>
                    <w14:schemeClr w14:val="tx1"/>
                  </w14:solidFill>
                </w14:textFill>
              </w:rPr>
              <w:t>涉及统计须填写正确。</w:t>
            </w:r>
          </w:p>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宋体"/>
                <w:b/>
                <w:bCs/>
                <w:color w:val="000000" w:themeColor="text1"/>
                <w:kern w:val="0"/>
                <w:sz w:val="20"/>
                <w:szCs w:val="21"/>
                <w14:textFill>
                  <w14:solidFill>
                    <w14:schemeClr w14:val="tx1"/>
                  </w14:solidFill>
                </w14:textFill>
              </w:rPr>
              <w:t>校验</w:t>
            </w:r>
            <w:r>
              <w:rPr>
                <w:rFonts w:hint="eastAsia" w:ascii="宋体" w:hAnsi="宋体" w:eastAsia="宋体" w:cs="宋体"/>
                <w:color w:val="000000" w:themeColor="text1"/>
                <w:kern w:val="0"/>
                <w:sz w:val="20"/>
                <w:szCs w:val="21"/>
                <w14:textFill>
                  <w14:solidFill>
                    <w14:schemeClr w14:val="tx1"/>
                  </w14:solidFill>
                </w14:textFill>
              </w:rPr>
              <w:t>：收费总价等于收费项目明细价之和。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9</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门诊/急诊费用表（从表）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“患者证件类型、患者证件号码、就诊医疗机构编码、患者就诊类型、患者就诊编号、结算流水号、医院收费项目编码”</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p>
            <w:pPr>
              <w:widowControl/>
              <w:jc w:val="left"/>
              <w:textAlignment w:val="center"/>
              <w:rPr>
                <w:rFonts w:ascii="宋体" w:hAnsi="宋体" w:eastAsia="宋体" w:cs="宋体"/>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统计</w:t>
            </w:r>
            <w:r>
              <w:rPr>
                <w:rFonts w:hint="eastAsia" w:ascii="宋体" w:hAnsi="宋体" w:eastAsia="宋体" w:cs="Times New Roman"/>
                <w:color w:val="000000" w:themeColor="text1"/>
                <w:kern w:val="0"/>
                <w:sz w:val="20"/>
                <w:szCs w:val="21"/>
                <w14:textFill>
                  <w14:solidFill>
                    <w14:schemeClr w14:val="tx1"/>
                  </w14:solidFill>
                </w14:textFill>
              </w:rPr>
              <w:t>：“收费项目财务分类代码”</w:t>
            </w:r>
            <w:r>
              <w:rPr>
                <w:rFonts w:hint="eastAsia" w:ascii="宋体" w:hAnsi="宋体" w:eastAsia="宋体" w:cs="宋体"/>
                <w:color w:val="000000" w:themeColor="text1"/>
                <w:kern w:val="0"/>
                <w:sz w:val="20"/>
                <w:szCs w:val="21"/>
                <w14:textFill>
                  <w14:solidFill>
                    <w14:schemeClr w14:val="tx1"/>
                  </w14:solidFill>
                </w14:textFill>
              </w:rPr>
              <w:t>涉及统计须填写正确。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10</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病人入院记录表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患者证件类型、患者证件号码、医疗机构编码、住院号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11</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24小时入出院记录表</w:t>
            </w:r>
          </w:p>
        </w:tc>
        <w:tc>
          <w:tcPr>
            <w:tcW w:w="4704" w:type="dxa"/>
            <w:vAlign w:val="center"/>
          </w:tcPr>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患者证件类型、患者证件号码、医疗机构编码、住院号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12</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住院病人长期医嘱记录表</w:t>
            </w:r>
          </w:p>
        </w:tc>
        <w:tc>
          <w:tcPr>
            <w:tcW w:w="4704" w:type="dxa"/>
            <w:vAlign w:val="center"/>
          </w:tcPr>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患者证件类型、患者证件号码、医疗机构编码、住院号、医嘱编号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13</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住院病人临时医嘱记录表</w:t>
            </w:r>
          </w:p>
        </w:tc>
        <w:tc>
          <w:tcPr>
            <w:tcW w:w="4704" w:type="dxa"/>
            <w:vAlign w:val="center"/>
          </w:tcPr>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患者证件类型、患者证件号码、医疗机构编码、住院号、医嘱编号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14</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住院病人首次病程记录</w:t>
            </w:r>
          </w:p>
        </w:tc>
        <w:tc>
          <w:tcPr>
            <w:tcW w:w="4704" w:type="dxa"/>
            <w:vAlign w:val="center"/>
          </w:tcPr>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患者证件类型、患者证件号码、医疗机构编码、住院号、病程记录编号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15</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 xml:space="preserve">住院病人日常病程记录 </w:t>
            </w:r>
          </w:p>
        </w:tc>
        <w:tc>
          <w:tcPr>
            <w:tcW w:w="4704" w:type="dxa"/>
            <w:vAlign w:val="center"/>
          </w:tcPr>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患者证件类型、患者证件号码、医疗机构编码、住院号、病程记录编号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16</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住院病人出院小结表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患者证件类型、患者证件号码、医疗机构编码、住院号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17</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西医病案首页表（主表）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患者证件类型、患者证件号码、医疗机构编码、住院号</w:t>
            </w:r>
            <w:r>
              <w:rPr>
                <w:rFonts w:hint="eastAsia" w:ascii="宋体" w:hAnsi="宋体" w:eastAsia="宋体" w:cs="Times New Roman"/>
                <w:color w:val="000000" w:themeColor="text1"/>
                <w:kern w:val="0"/>
                <w:sz w:val="20"/>
                <w:szCs w:val="21"/>
                <w14:textFill>
                  <w14:solidFill>
                    <w14:schemeClr w14:val="tx1"/>
                  </w14:solidFill>
                </w14:textFill>
              </w:rPr>
              <w:t>”组合设成唯一。</w:t>
            </w:r>
          </w:p>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关联</w:t>
            </w:r>
            <w:r>
              <w:rPr>
                <w:rFonts w:hint="eastAsia" w:ascii="宋体" w:hAnsi="宋体" w:eastAsia="宋体" w:cs="Times New Roman"/>
                <w:color w:val="000000" w:themeColor="text1"/>
                <w:kern w:val="0"/>
                <w:sz w:val="20"/>
                <w:szCs w:val="21"/>
                <w14:textFill>
                  <w14:solidFill>
                    <w14:schemeClr w14:val="tx1"/>
                  </w14:solidFill>
                </w14:textFill>
              </w:rPr>
              <w:t>：针对有手术费用的病案“医疗机构编码、患者证件类型、患者证件号码、住院号”关联手术记录从表。</w:t>
            </w:r>
          </w:p>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统计</w:t>
            </w:r>
            <w:r>
              <w:rPr>
                <w:rFonts w:hint="eastAsia" w:ascii="宋体" w:hAnsi="宋体" w:eastAsia="宋体" w:cs="Times New Roman"/>
                <w:color w:val="000000" w:themeColor="text1"/>
                <w:kern w:val="0"/>
                <w:sz w:val="20"/>
                <w:szCs w:val="21"/>
                <w14:textFill>
                  <w14:solidFill>
                    <w14:schemeClr w14:val="tx1"/>
                  </w14:solidFill>
                </w14:textFill>
              </w:rPr>
              <w:t>：“医疗付费方式代码、入院途径代码、住院天数、出院主要诊断疾病编码、（对应出院主要诊断疾病）治疗转归代码、病案质量代码、离院方式代码、是否有出院31天内再住院计划、总费用及分项费用、各种病例标识，诊断附合情况标识”等</w:t>
            </w:r>
            <w:r>
              <w:rPr>
                <w:rFonts w:hint="eastAsia" w:ascii="宋体" w:hAnsi="宋体" w:eastAsia="宋体" w:cs="宋体"/>
                <w:color w:val="000000" w:themeColor="text1"/>
                <w:kern w:val="0"/>
                <w:sz w:val="20"/>
                <w:szCs w:val="21"/>
                <w14:textFill>
                  <w14:solidFill>
                    <w14:schemeClr w14:val="tx1"/>
                  </w14:solidFill>
                </w14:textFill>
              </w:rPr>
              <w:t>涉及统计须填写正确。</w:t>
            </w:r>
          </w:p>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校验</w:t>
            </w:r>
            <w:r>
              <w:rPr>
                <w:rFonts w:hint="eastAsia" w:ascii="宋体" w:hAnsi="宋体" w:eastAsia="宋体" w:cs="Times New Roman"/>
                <w:color w:val="000000" w:themeColor="text1"/>
                <w:kern w:val="0"/>
                <w:sz w:val="20"/>
                <w:szCs w:val="21"/>
                <w14:textFill>
                  <w14:solidFill>
                    <w14:schemeClr w14:val="tx1"/>
                  </w14:solidFill>
                </w14:textFill>
              </w:rPr>
              <w:t>：总费用等于分项费用之和。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18</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西医病案首页中手术记录表（从表）</w:t>
            </w:r>
          </w:p>
        </w:tc>
        <w:tc>
          <w:tcPr>
            <w:tcW w:w="4704" w:type="dxa"/>
            <w:vAlign w:val="center"/>
          </w:tcPr>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患者证件类型、患者证件号码、医疗机构编码、住院号、手术记录（流水）号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19</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中医病案首页表（主表）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患者证件类型、患者证件号码、医疗机构编码、住院号</w:t>
            </w:r>
            <w:r>
              <w:rPr>
                <w:rFonts w:hint="eastAsia" w:ascii="宋体" w:hAnsi="宋体" w:eastAsia="宋体" w:cs="Times New Roman"/>
                <w:color w:val="000000" w:themeColor="text1"/>
                <w:kern w:val="0"/>
                <w:sz w:val="20"/>
                <w:szCs w:val="21"/>
                <w14:textFill>
                  <w14:solidFill>
                    <w14:schemeClr w14:val="tx1"/>
                  </w14:solidFill>
                </w14:textFill>
              </w:rPr>
              <w:t>”组合设成唯一。</w:t>
            </w:r>
          </w:p>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关联</w:t>
            </w:r>
            <w:r>
              <w:rPr>
                <w:rFonts w:hint="eastAsia" w:ascii="宋体" w:hAnsi="宋体" w:eastAsia="宋体" w:cs="Times New Roman"/>
                <w:color w:val="000000" w:themeColor="text1"/>
                <w:kern w:val="0"/>
                <w:sz w:val="20"/>
                <w:szCs w:val="21"/>
                <w14:textFill>
                  <w14:solidFill>
                    <w14:schemeClr w14:val="tx1"/>
                  </w14:solidFill>
                </w14:textFill>
              </w:rPr>
              <w:t>：针对有手术费用的病案“医疗机构编码、患者证件类型、患者证件号码、住院号”关联手术记录从表。</w:t>
            </w:r>
          </w:p>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统计</w:t>
            </w:r>
            <w:r>
              <w:rPr>
                <w:rFonts w:hint="eastAsia" w:ascii="宋体" w:hAnsi="宋体" w:eastAsia="宋体" w:cs="Times New Roman"/>
                <w:color w:val="000000" w:themeColor="text1"/>
                <w:kern w:val="0"/>
                <w:sz w:val="20"/>
                <w:szCs w:val="21"/>
                <w14:textFill>
                  <w14:solidFill>
                    <w14:schemeClr w14:val="tx1"/>
                  </w14:solidFill>
                </w14:textFill>
              </w:rPr>
              <w:t>：“医疗费用支付方式代码、入院途径代码、住院天数、出院主要诊断疾病代码、（对应出院主要诊断疾病）治疗转归代码、病案质量代码、离院方式代码、是否有出院31天内再住院计划、总费用及分项费用、各种病例标识，诊断附合情况标识”等</w:t>
            </w:r>
            <w:r>
              <w:rPr>
                <w:rFonts w:hint="eastAsia" w:ascii="宋体" w:hAnsi="宋体" w:eastAsia="宋体" w:cs="宋体"/>
                <w:color w:val="000000" w:themeColor="text1"/>
                <w:kern w:val="0"/>
                <w:sz w:val="20"/>
                <w:szCs w:val="21"/>
                <w14:textFill>
                  <w14:solidFill>
                    <w14:schemeClr w14:val="tx1"/>
                  </w14:solidFill>
                </w14:textFill>
              </w:rPr>
              <w:t>涉及统计须填写正确。</w:t>
            </w:r>
          </w:p>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校验</w:t>
            </w:r>
            <w:r>
              <w:rPr>
                <w:rFonts w:hint="eastAsia" w:ascii="宋体" w:hAnsi="宋体" w:eastAsia="宋体" w:cs="Times New Roman"/>
                <w:color w:val="000000" w:themeColor="text1"/>
                <w:kern w:val="0"/>
                <w:sz w:val="20"/>
                <w:szCs w:val="21"/>
                <w14:textFill>
                  <w14:solidFill>
                    <w14:schemeClr w14:val="tx1"/>
                  </w14:solidFill>
                </w14:textFill>
              </w:rPr>
              <w:t>：总费用等于分项费用之和。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20</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中医病案首页中手术记录表（从表）</w:t>
            </w:r>
          </w:p>
        </w:tc>
        <w:tc>
          <w:tcPr>
            <w:tcW w:w="4704" w:type="dxa"/>
            <w:vAlign w:val="center"/>
          </w:tcPr>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患者证件类型、患者证件号码、医疗机构编码、住院号、手术流水号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21</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住院费用结算表（主表）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：“患者证件类型、患者证件号码、医疗机构编码、住院号、结算流水号”组合必须确保唯一。</w:t>
            </w:r>
          </w:p>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关联</w:t>
            </w:r>
            <w:r>
              <w:rPr>
                <w:rFonts w:hint="eastAsia" w:ascii="宋体" w:hAnsi="宋体" w:eastAsia="宋体" w:cs="Times New Roman"/>
                <w:color w:val="000000" w:themeColor="text1"/>
                <w:kern w:val="0"/>
                <w:sz w:val="20"/>
                <w:szCs w:val="21"/>
                <w14:textFill>
                  <w14:solidFill>
                    <w14:schemeClr w14:val="tx1"/>
                  </w14:solidFill>
                </w14:textFill>
              </w:rPr>
              <w:t>：“医疗机构编码、患者证件类型、患者证件号码、门诊/急诊编号、结算序号、收/退费日期时间”关联收费项目明细。</w:t>
            </w:r>
          </w:p>
          <w:p>
            <w:pPr>
              <w:widowControl/>
              <w:jc w:val="left"/>
              <w:textAlignment w:val="center"/>
              <w:rPr>
                <w:rFonts w:ascii="宋体" w:hAnsi="宋体" w:eastAsia="宋体" w:cs="宋体"/>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统计</w:t>
            </w:r>
            <w:r>
              <w:rPr>
                <w:rFonts w:hint="eastAsia" w:ascii="宋体" w:hAnsi="宋体" w:eastAsia="宋体" w:cs="Times New Roman"/>
                <w:color w:val="000000" w:themeColor="text1"/>
                <w:kern w:val="0"/>
                <w:sz w:val="20"/>
                <w:szCs w:val="21"/>
                <w14:textFill>
                  <w14:solidFill>
                    <w14:schemeClr w14:val="tx1"/>
                  </w14:solidFill>
                </w14:textFill>
              </w:rPr>
              <w:t>：“医疗付费方式代码、移动支付标识、互联网收费标识”</w:t>
            </w:r>
            <w:r>
              <w:rPr>
                <w:rFonts w:hint="eastAsia" w:ascii="宋体" w:hAnsi="宋体" w:eastAsia="宋体" w:cs="宋体"/>
                <w:color w:val="000000" w:themeColor="text1"/>
                <w:kern w:val="0"/>
                <w:sz w:val="20"/>
                <w:szCs w:val="21"/>
                <w14:textFill>
                  <w14:solidFill>
                    <w14:schemeClr w14:val="tx1"/>
                  </w14:solidFill>
                </w14:textFill>
              </w:rPr>
              <w:t>涉及统计须填写正确。</w:t>
            </w:r>
          </w:p>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宋体"/>
                <w:b/>
                <w:bCs/>
                <w:color w:val="000000" w:themeColor="text1"/>
                <w:kern w:val="0"/>
                <w:sz w:val="20"/>
                <w:szCs w:val="21"/>
                <w14:textFill>
                  <w14:solidFill>
                    <w14:schemeClr w14:val="tx1"/>
                  </w14:solidFill>
                </w14:textFill>
              </w:rPr>
              <w:t>校验</w:t>
            </w:r>
            <w:r>
              <w:rPr>
                <w:rFonts w:hint="eastAsia" w:ascii="宋体" w:hAnsi="宋体" w:eastAsia="宋体" w:cs="宋体"/>
                <w:color w:val="000000" w:themeColor="text1"/>
                <w:kern w:val="0"/>
                <w:sz w:val="20"/>
                <w:szCs w:val="21"/>
                <w14:textFill>
                  <w14:solidFill>
                    <w14:schemeClr w14:val="tx1"/>
                  </w14:solidFill>
                </w14:textFill>
              </w:rPr>
              <w:t>：收费总价等于收费项目明细价之和。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22</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住院费用明细表（从表）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患者证件类型、患者证件号码、医疗机构编码、住院号、结算流水号、医院记账项目编号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统计</w:t>
            </w:r>
            <w:r>
              <w:rPr>
                <w:rFonts w:hint="eastAsia" w:ascii="宋体" w:hAnsi="宋体" w:eastAsia="宋体" w:cs="Times New Roman"/>
                <w:color w:val="000000" w:themeColor="text1"/>
                <w:kern w:val="0"/>
                <w:sz w:val="20"/>
                <w:szCs w:val="21"/>
                <w14:textFill>
                  <w14:solidFill>
                    <w14:schemeClr w14:val="tx1"/>
                  </w14:solidFill>
                </w14:textFill>
              </w:rPr>
              <w:t>：“收费项目财务分类代码”</w:t>
            </w:r>
            <w:r>
              <w:rPr>
                <w:rFonts w:hint="eastAsia" w:ascii="宋体" w:hAnsi="宋体" w:eastAsia="宋体" w:cs="宋体"/>
                <w:color w:val="000000" w:themeColor="text1"/>
                <w:kern w:val="0"/>
                <w:sz w:val="20"/>
                <w:szCs w:val="21"/>
                <w14:textFill>
                  <w14:solidFill>
                    <w14:schemeClr w14:val="tx1"/>
                  </w14:solidFill>
                </w14:textFill>
              </w:rPr>
              <w:t>涉及统计须填写正确。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23</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检验报告记录表（主表）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患者证件类型、患者证件号码、就诊医疗机构编码、患者就诊类型、患者就诊编号、检验报告编号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关联</w:t>
            </w:r>
            <w:r>
              <w:rPr>
                <w:rFonts w:hint="eastAsia" w:ascii="宋体" w:hAnsi="宋体" w:eastAsia="宋体" w:cs="Times New Roman"/>
                <w:color w:val="000000" w:themeColor="text1"/>
                <w:kern w:val="0"/>
                <w:sz w:val="20"/>
                <w:szCs w:val="21"/>
                <w14:textFill>
                  <w14:solidFill>
                    <w14:schemeClr w14:val="tx1"/>
                  </w14:solidFill>
                </w14:textFill>
              </w:rPr>
              <w:t>：“检验机构编码、患者证件类型、患者证件号码、患者就诊类型、患者就诊编号、检验报告编号、出具报告日期”关联检验项目结果明细。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24</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检验结果明细表（从表）</w:t>
            </w:r>
          </w:p>
        </w:tc>
        <w:tc>
          <w:tcPr>
            <w:tcW w:w="4704" w:type="dxa"/>
            <w:vAlign w:val="center"/>
          </w:tcPr>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患者证件类型、患者证件号码、就诊医疗机构编码、患者就诊类型、患者就诊编号、检验报告编号、医院检验结果项目编码</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25</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检查报告记录表</w:t>
            </w:r>
          </w:p>
        </w:tc>
        <w:tc>
          <w:tcPr>
            <w:tcW w:w="4704" w:type="dxa"/>
            <w:vAlign w:val="center"/>
          </w:tcPr>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患者证件类型、患者证件号码、就诊医疗机构编码、患者就诊类型、患者就诊编号、检查报告编号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26</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手术麻醉记录表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：“患者证件类型、患者证件号码、就诊医疗机构编码、患者就诊类型、患者就诊编号、手术记录单编号”组合必须确保唯一。</w:t>
            </w:r>
          </w:p>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统计</w:t>
            </w:r>
            <w:r>
              <w:rPr>
                <w:rFonts w:hint="eastAsia" w:ascii="宋体" w:hAnsi="宋体" w:eastAsia="宋体" w:cs="Times New Roman"/>
                <w:color w:val="000000" w:themeColor="text1"/>
                <w:kern w:val="0"/>
                <w:sz w:val="20"/>
                <w:szCs w:val="21"/>
                <w14:textFill>
                  <w14:solidFill>
                    <w14:schemeClr w14:val="tx1"/>
                  </w14:solidFill>
                </w14:textFill>
              </w:rPr>
              <w:t>：“主要手术/操作编码、麻醉方法代码”</w:t>
            </w:r>
            <w:r>
              <w:rPr>
                <w:rFonts w:hint="eastAsia" w:ascii="宋体" w:hAnsi="宋体" w:eastAsia="宋体" w:cs="宋体"/>
                <w:color w:val="000000" w:themeColor="text1"/>
                <w:kern w:val="0"/>
                <w:sz w:val="20"/>
                <w:szCs w:val="21"/>
                <w14:textFill>
                  <w14:solidFill>
                    <w14:schemeClr w14:val="tx1"/>
                  </w14:solidFill>
                </w14:textFill>
              </w:rPr>
              <w:t>涉及统计须填写正确。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27</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治疗处置记录表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患者证件类型、患者证件号码、就诊医疗机构编码、患者就诊类型、患者就诊编号、治疗/处置单编号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统计</w:t>
            </w:r>
            <w:r>
              <w:rPr>
                <w:rFonts w:hint="eastAsia" w:ascii="宋体" w:hAnsi="宋体" w:eastAsia="宋体" w:cs="Times New Roman"/>
                <w:color w:val="000000" w:themeColor="text1"/>
                <w:kern w:val="0"/>
                <w:sz w:val="20"/>
                <w:szCs w:val="21"/>
                <w14:textFill>
                  <w14:solidFill>
                    <w14:schemeClr w14:val="tx1"/>
                  </w14:solidFill>
                </w14:textFill>
              </w:rPr>
              <w:t>：“治</w:t>
            </w:r>
            <w:r>
              <w:rPr>
                <w:rFonts w:ascii="宋体" w:hAnsi="宋体" w:eastAsia="宋体" w:cs="Times New Roman"/>
                <w:color w:val="000000" w:themeColor="text1"/>
                <w:kern w:val="0"/>
                <w:sz w:val="20"/>
                <w:szCs w:val="21"/>
                <w14:textFill>
                  <w14:solidFill>
                    <w14:schemeClr w14:val="tx1"/>
                  </w14:solidFill>
                </w14:textFill>
              </w:rPr>
              <w:t>疗</w:t>
            </w:r>
            <w:r>
              <w:rPr>
                <w:rFonts w:hint="eastAsia" w:ascii="宋体" w:hAnsi="宋体" w:eastAsia="宋体" w:cs="Times New Roman"/>
                <w:color w:val="000000" w:themeColor="text1"/>
                <w:kern w:val="0"/>
                <w:sz w:val="20"/>
                <w:szCs w:val="21"/>
                <w14:textFill>
                  <w14:solidFill>
                    <w14:schemeClr w14:val="tx1"/>
                  </w14:solidFill>
                </w14:textFill>
              </w:rPr>
              <w:t>/</w:t>
            </w:r>
            <w:r>
              <w:rPr>
                <w:rFonts w:ascii="宋体" w:hAnsi="宋体" w:eastAsia="宋体" w:cs="Times New Roman"/>
                <w:color w:val="000000" w:themeColor="text1"/>
                <w:kern w:val="0"/>
                <w:sz w:val="20"/>
                <w:szCs w:val="21"/>
                <w14:textFill>
                  <w14:solidFill>
                    <w14:schemeClr w14:val="tx1"/>
                  </w14:solidFill>
                </w14:textFill>
              </w:rPr>
              <w:t>处置项目</w:t>
            </w:r>
            <w:r>
              <w:rPr>
                <w:rFonts w:hint="eastAsia" w:ascii="宋体" w:hAnsi="宋体" w:eastAsia="宋体" w:cs="Times New Roman"/>
                <w:color w:val="000000" w:themeColor="text1"/>
                <w:kern w:val="0"/>
                <w:sz w:val="20"/>
                <w:szCs w:val="21"/>
                <w14:textFill>
                  <w14:solidFill>
                    <w14:schemeClr w14:val="tx1"/>
                  </w14:solidFill>
                </w14:textFill>
              </w:rPr>
              <w:t>分</w:t>
            </w:r>
            <w:r>
              <w:rPr>
                <w:rFonts w:ascii="宋体" w:hAnsi="宋体" w:eastAsia="宋体" w:cs="Times New Roman"/>
                <w:color w:val="000000" w:themeColor="text1"/>
                <w:kern w:val="0"/>
                <w:sz w:val="20"/>
                <w:szCs w:val="21"/>
                <w14:textFill>
                  <w14:solidFill>
                    <w14:schemeClr w14:val="tx1"/>
                  </w14:solidFill>
                </w14:textFill>
              </w:rPr>
              <w:t>类</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宋体" w:hAnsi="宋体" w:eastAsia="宋体" w:cs="宋体"/>
                <w:color w:val="000000" w:themeColor="text1"/>
                <w:kern w:val="0"/>
                <w:sz w:val="20"/>
                <w:szCs w:val="21"/>
                <w14:textFill>
                  <w14:solidFill>
                    <w14:schemeClr w14:val="tx1"/>
                  </w14:solidFill>
                </w14:textFill>
              </w:rPr>
              <w:t>涉及统计须填写正确。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28</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患者输血记录表</w:t>
            </w:r>
          </w:p>
        </w:tc>
        <w:tc>
          <w:tcPr>
            <w:tcW w:w="4704" w:type="dxa"/>
            <w:vAlign w:val="center"/>
          </w:tcPr>
          <w:p>
            <w:pPr>
              <w:widowControl/>
              <w:jc w:val="left"/>
              <w:textAlignment w:val="center"/>
              <w:rPr>
                <w:rFonts w:ascii="宋体" w:hAnsi="宋体" w:eastAsia="宋体" w:cs="宋体"/>
                <w:color w:val="000000" w:themeColor="text1"/>
                <w:kern w:val="0"/>
                <w:sz w:val="20"/>
                <w:szCs w:val="21"/>
                <w:lang w:bidi="ar"/>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患者证件类型、患者证件号码、就诊医疗机构编码、患者就诊类型、患者就诊编号、申请单编号、血袋编号</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 w:val="20"/>
                <w:szCs w:val="21"/>
                <w:lang w:bidi="ar"/>
              </w:rPr>
            </w:pPr>
            <w:r>
              <w:rPr>
                <w:rFonts w:hint="eastAsia" w:ascii="宋体" w:hAnsi="宋体" w:eastAsia="宋体" w:cs="宋体"/>
                <w:color w:val="000000"/>
                <w:kern w:val="0"/>
                <w:sz w:val="20"/>
                <w:szCs w:val="21"/>
                <w:lang w:bidi="ar"/>
              </w:rPr>
              <w:t>29</w:t>
            </w:r>
          </w:p>
        </w:tc>
        <w:tc>
          <w:tcPr>
            <w:tcW w:w="3079" w:type="dxa"/>
            <w:vAlign w:val="center"/>
          </w:tcPr>
          <w:p>
            <w:pPr>
              <w:widowControl/>
              <w:jc w:val="left"/>
              <w:textAlignment w:val="center"/>
              <w:rPr>
                <w:rFonts w:ascii="宋体" w:hAnsi="宋体" w:eastAsia="宋体" w:cs="宋体"/>
                <w:color w:val="000000"/>
                <w:kern w:val="0"/>
                <w:sz w:val="20"/>
                <w:szCs w:val="21"/>
                <w:lang w:bidi="ar"/>
              </w:rPr>
            </w:pPr>
            <w:r>
              <w:rPr>
                <w:rFonts w:ascii="宋体" w:hAnsi="宋体" w:eastAsia="宋体" w:cs="宋体"/>
                <w:color w:val="000000"/>
                <w:kern w:val="0"/>
                <w:sz w:val="20"/>
                <w:szCs w:val="21"/>
                <w:lang w:bidi="ar"/>
              </w:rPr>
              <w:t>高值耗材使用记录表</w:t>
            </w:r>
          </w:p>
        </w:tc>
        <w:tc>
          <w:tcPr>
            <w:tcW w:w="4704" w:type="dxa"/>
            <w:vAlign w:val="center"/>
          </w:tcPr>
          <w:p>
            <w:pPr>
              <w:widowControl/>
              <w:jc w:val="left"/>
              <w:textAlignment w:val="center"/>
              <w:rPr>
                <w:rFonts w:ascii="宋体" w:hAnsi="宋体" w:eastAsia="宋体" w:cs="Times New Roman"/>
                <w:color w:val="000000" w:themeColor="text1"/>
                <w:kern w:val="0"/>
                <w:sz w:val="20"/>
                <w:szCs w:val="21"/>
                <w14:textFill>
                  <w14:solidFill>
                    <w14:schemeClr w14:val="tx1"/>
                  </w14:solidFill>
                </w14:textFill>
              </w:rPr>
            </w:pPr>
            <w:r>
              <w:rPr>
                <w:rFonts w:hint="eastAsia" w:ascii="宋体" w:hAnsi="宋体" w:eastAsia="宋体" w:cs="Times New Roman"/>
                <w:b/>
                <w:bCs/>
                <w:color w:val="000000" w:themeColor="text1"/>
                <w:kern w:val="0"/>
                <w:sz w:val="20"/>
                <w:szCs w:val="21"/>
                <w14:textFill>
                  <w14:solidFill>
                    <w14:schemeClr w14:val="tx1"/>
                  </w14:solidFill>
                </w14:textFill>
              </w:rPr>
              <w:t>唯一</w:t>
            </w:r>
            <w:r>
              <w:rPr>
                <w:rFonts w:hint="eastAsia" w:ascii="宋体" w:hAnsi="宋体" w:eastAsia="宋体" w:cs="Times New Roman"/>
                <w:color w:val="000000" w:themeColor="text1"/>
                <w:kern w:val="0"/>
                <w:sz w:val="20"/>
                <w:szCs w:val="21"/>
                <w14:textFill>
                  <w14:solidFill>
                    <w14:schemeClr w14:val="tx1"/>
                  </w14:solidFill>
                </w14:textFill>
              </w:rPr>
              <w:t>：“</w:t>
            </w:r>
            <w:r>
              <w:rPr>
                <w:rFonts w:hint="eastAsia" w:ascii="Times New Roman" w:hAnsi="Times New Roman" w:eastAsia="宋体" w:cs="Times New Roman"/>
                <w:kern w:val="0"/>
                <w:sz w:val="20"/>
              </w:rPr>
              <w:t>患者证件类型、患者证件号码、就诊医疗机构编码、患者就诊类型、患者就诊编号、UDI编号、医院耗材编码</w:t>
            </w:r>
            <w:r>
              <w:rPr>
                <w:rFonts w:hint="eastAsia" w:ascii="宋体" w:hAnsi="宋体" w:eastAsia="宋体" w:cs="Times New Roman"/>
                <w:color w:val="000000" w:themeColor="text1"/>
                <w:kern w:val="0"/>
                <w:sz w:val="20"/>
                <w:szCs w:val="21"/>
                <w14:textFill>
                  <w14:solidFill>
                    <w14:schemeClr w14:val="tx1"/>
                  </w14:solidFill>
                </w14:textFill>
              </w:rPr>
              <w:t>”组合必须确保唯一。</w:t>
            </w:r>
          </w:p>
        </w:tc>
      </w:tr>
    </w:tbl>
    <w:p>
      <w:pPr>
        <w:ind w:firstLine="560" w:firstLineChars="200"/>
        <w:rPr>
          <w:rFonts w:ascii="宋体" w:hAnsi="宋体" w:eastAsia="宋体" w:cs="宋体"/>
          <w:color w:val="FF000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variable"/>
    <w:sig w:usb0="00000287" w:usb1="080F0000" w:usb2="00000000" w:usb3="00000000" w:csb0="0004009F" w:csb1="DFD70000"/>
  </w:font>
  <w:font w:name="@宋体">
    <w:panose1 w:val="02010600030101010101"/>
    <w:charset w:val="86"/>
    <w:family w:val="auto"/>
    <w:pitch w:val="variable"/>
    <w:sig w:usb0="00000003" w:usb1="288F0000" w:usb2="00000006" w:usb3="00000000" w:csb0="00040001" w:csb1="00000000"/>
  </w:font>
  <w:font w:name="仿宋_GB2312">
    <w:panose1 w:val="02010609030101010101"/>
    <w:charset w:val="86"/>
    <w:family w:val="auto"/>
    <w:pitch w:val="fixed"/>
    <w:sig w:usb0="00000001" w:usb1="080E0000" w:usb2="00000000" w:usb3="00000000" w:csb0="00040000" w:csb1="00000000"/>
  </w:font>
  <w:font w:name="@仿宋_GB2312">
    <w:panose1 w:val="02010609030101010101"/>
    <w:charset w:val="86"/>
    <w:family w:val="auto"/>
    <w:pitch w:val="fixed"/>
    <w:sig w:usb0="00000001" w:usb1="080E0000" w:usb2="00000000" w:usb3="00000000" w:csb0="00040000" w:csb1="00000000"/>
  </w:font>
  <w:font w:name="@华文中宋">
    <w:panose1 w:val="02010600040101010101"/>
    <w:charset w:val="86"/>
    <w:family w:val="auto"/>
    <w:pitch w:val="variable"/>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1588031"/>
    <w:multiLevelType w:val="multilevel"/>
    <w:tmpl w:val="31588031"/>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67A53B27"/>
    <w:multiLevelType w:val="singleLevel"/>
    <w:tmpl w:val="67A53B27"/>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cwYjFlNjEyMDE0YzZlZTMwNzFhNGQyMzM4NmI5YmIifQ=="/>
  </w:docVars>
  <w:rsids>
    <w:rsidRoot w:val="007306AD"/>
    <w:rsid w:val="003C1FA2"/>
    <w:rsid w:val="00510FC8"/>
    <w:rsid w:val="00617276"/>
    <w:rsid w:val="00704DFF"/>
    <w:rsid w:val="007306AD"/>
    <w:rsid w:val="00734FEE"/>
    <w:rsid w:val="009812B4"/>
    <w:rsid w:val="00D5385D"/>
    <w:rsid w:val="00F40BB3"/>
    <w:rsid w:val="05FC746C"/>
    <w:rsid w:val="0E244FC0"/>
    <w:rsid w:val="58CB7B7A"/>
    <w:rsid w:val="68D028F7"/>
    <w:rsid w:val="7F0A7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before="340" w:after="330" w:line="576" w:lineRule="auto"/>
      <w:outlineLvl w:val="0"/>
    </w:pPr>
    <w:rPr>
      <w:b/>
      <w:kern w:val="44"/>
      <w:sz w:val="44"/>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0"/>
    <w:rPr>
      <w:sz w:val="18"/>
      <w:szCs w:val="18"/>
    </w:rPr>
  </w:style>
  <w:style w:type="character" w:customStyle="1" w:styleId="9">
    <w:name w:val="页脚 字符"/>
    <w:basedOn w:val="7"/>
    <w:link w:val="3"/>
    <w:uiPriority w:val="0"/>
    <w:rPr>
      <w:sz w:val="18"/>
      <w:szCs w:val="18"/>
    </w:rPr>
  </w:style>
  <w:style w:type="character" w:customStyle="1" w:styleId="10">
    <w:name w:val="标题 1 字符"/>
    <w:basedOn w:val="7"/>
    <w:link w:val="2"/>
    <w:uiPriority w:val="0"/>
    <w:rPr>
      <w:b/>
      <w:kern w:val="44"/>
      <w:sz w:val="44"/>
      <w:szCs w:val="24"/>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6832</Words>
  <Characters>8421</Characters>
  <Lines>62</Lines>
  <Paragraphs>17</Paragraphs>
  <TotalTime>4</TotalTime>
  <ScaleCrop>false</ScaleCrop>
  <LinksUpToDate>false</LinksUpToDate>
  <CharactersWithSpaces>8433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2023-03-06T02:32:00Z</dcterms:created>
  <dc:creator>李曙光</dc:creator>
  <cp:lastModifiedBy>lidongyang</cp:lastModifiedBy>
  <dcterms:modified xsi:type="dcterms:W3CDTF">2023-03-21T02:48:52Z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59029675F4BA4F82AF28F11B0E9C5984</vt:lpwstr>
  </property>
</Properties>
</file>