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Times New Roman" w:eastAsia="方正小标宋简体"/>
          <w:b/>
          <w:color w:val="auto"/>
          <w:sz w:val="72"/>
          <w:szCs w:val="72"/>
        </w:rPr>
      </w:pPr>
    </w:p>
    <w:p>
      <w:pPr>
        <w:adjustRightInd w:val="0"/>
        <w:snapToGrid w:val="0"/>
        <w:spacing w:line="360" w:lineRule="auto"/>
        <w:jc w:val="center"/>
        <w:rPr>
          <w:rFonts w:hint="eastAsia" w:ascii="宋体" w:hAnsi="宋体" w:eastAsia="宋体"/>
          <w:b/>
          <w:color w:val="auto"/>
          <w:sz w:val="72"/>
          <w:szCs w:val="72"/>
          <w:lang w:eastAsia="zh-CN"/>
        </w:rPr>
      </w:pPr>
      <w:r>
        <w:rPr>
          <w:rFonts w:hint="eastAsia" w:ascii="宋体" w:hAnsi="宋体"/>
          <w:b/>
          <w:color w:val="auto"/>
          <w:sz w:val="72"/>
          <w:szCs w:val="72"/>
          <w:lang w:val="en-US" w:eastAsia="zh-CN"/>
        </w:rPr>
        <w:t>东风乡人民政府</w:t>
      </w:r>
    </w:p>
    <w:p>
      <w:pPr>
        <w:adjustRightInd w:val="0"/>
        <w:snapToGrid w:val="0"/>
        <w:spacing w:line="360" w:lineRule="auto"/>
        <w:jc w:val="center"/>
        <w:rPr>
          <w:rFonts w:ascii="宋体" w:hAnsi="宋体"/>
          <w:b/>
          <w:color w:val="auto"/>
          <w:sz w:val="72"/>
          <w:szCs w:val="72"/>
        </w:rPr>
      </w:pPr>
      <w:r>
        <w:rPr>
          <w:rFonts w:ascii="宋体" w:hAnsi="宋体"/>
          <w:b/>
          <w:color w:val="auto"/>
          <w:sz w:val="72"/>
          <w:szCs w:val="72"/>
        </w:rPr>
        <w:t>20</w:t>
      </w:r>
      <w:r>
        <w:rPr>
          <w:rFonts w:hint="eastAsia" w:ascii="宋体" w:hAnsi="宋体"/>
          <w:b/>
          <w:color w:val="auto"/>
          <w:sz w:val="72"/>
          <w:szCs w:val="72"/>
        </w:rPr>
        <w:t>2</w:t>
      </w:r>
      <w:r>
        <w:rPr>
          <w:rFonts w:hint="eastAsia" w:ascii="宋体" w:hAnsi="宋体"/>
          <w:b/>
          <w:color w:val="auto"/>
          <w:sz w:val="72"/>
          <w:szCs w:val="72"/>
          <w:lang w:val="en-US" w:eastAsia="zh-CN"/>
        </w:rPr>
        <w:t>3</w:t>
      </w:r>
      <w:r>
        <w:rPr>
          <w:rFonts w:hint="eastAsia" w:ascii="宋体" w:hAnsi="宋体"/>
          <w:b/>
          <w:color w:val="auto"/>
          <w:sz w:val="72"/>
          <w:szCs w:val="72"/>
        </w:rPr>
        <w:t>年度部门预算公开说明</w:t>
      </w:r>
    </w:p>
    <w:p>
      <w:pPr>
        <w:adjustRightInd w:val="0"/>
        <w:snapToGrid w:val="0"/>
        <w:spacing w:line="360" w:lineRule="auto"/>
        <w:jc w:val="center"/>
        <w:rPr>
          <w:rFonts w:ascii="方正小标宋简体" w:hAnsi="Times New Roman" w:eastAsia="方正小标宋简体"/>
          <w:b/>
          <w:color w:val="auto"/>
          <w:sz w:val="84"/>
          <w:szCs w:val="84"/>
        </w:rPr>
      </w:pPr>
    </w:p>
    <w:p>
      <w:pPr>
        <w:adjustRightInd w:val="0"/>
        <w:snapToGrid w:val="0"/>
        <w:spacing w:line="360" w:lineRule="auto"/>
        <w:jc w:val="center"/>
        <w:rPr>
          <w:rFonts w:ascii="方正小标宋简体" w:hAnsi="Times New Roman" w:eastAsia="方正小标宋简体"/>
          <w:b/>
          <w:color w:val="auto"/>
          <w:sz w:val="84"/>
          <w:szCs w:val="84"/>
        </w:rPr>
      </w:pPr>
    </w:p>
    <w:p>
      <w:pPr>
        <w:adjustRightInd w:val="0"/>
        <w:snapToGrid w:val="0"/>
        <w:spacing w:line="360" w:lineRule="auto"/>
        <w:rPr>
          <w:rFonts w:ascii="方正小标宋简体" w:hAnsi="Times New Roman" w:eastAsia="方正小标宋简体"/>
          <w:b/>
          <w:color w:val="auto"/>
          <w:sz w:val="84"/>
          <w:szCs w:val="84"/>
        </w:rPr>
      </w:pPr>
    </w:p>
    <w:p>
      <w:pPr>
        <w:kinsoku w:val="0"/>
        <w:overflowPunct w:val="0"/>
        <w:adjustRightInd w:val="0"/>
        <w:snapToGrid w:val="0"/>
        <w:spacing w:line="360" w:lineRule="auto"/>
        <w:ind w:left="101" w:leftChars="48" w:right="-58" w:firstLine="2831" w:firstLineChars="641"/>
        <w:rPr>
          <w:rFonts w:ascii="宋体" w:hAnsi="宋体"/>
          <w:b/>
          <w:bCs w:val="0"/>
          <w:color w:val="auto"/>
          <w:sz w:val="44"/>
          <w:szCs w:val="44"/>
        </w:rPr>
      </w:pPr>
      <w:r>
        <w:rPr>
          <w:rFonts w:hint="eastAsia" w:ascii="宋体" w:hAnsi="宋体"/>
          <w:b/>
          <w:bCs w:val="0"/>
          <w:color w:val="auto"/>
          <w:sz w:val="44"/>
          <w:szCs w:val="44"/>
        </w:rPr>
        <w:t>202</w:t>
      </w:r>
      <w:r>
        <w:rPr>
          <w:rFonts w:hint="eastAsia" w:ascii="宋体" w:hAnsi="宋体"/>
          <w:b/>
          <w:bCs w:val="0"/>
          <w:color w:val="auto"/>
          <w:sz w:val="44"/>
          <w:szCs w:val="44"/>
          <w:lang w:val="en-US" w:eastAsia="zh-CN"/>
        </w:rPr>
        <w:t>3</w:t>
      </w:r>
      <w:r>
        <w:rPr>
          <w:rFonts w:hint="eastAsia" w:ascii="宋体" w:hAnsi="宋体"/>
          <w:b/>
          <w:bCs w:val="0"/>
          <w:color w:val="auto"/>
          <w:sz w:val="44"/>
          <w:szCs w:val="44"/>
        </w:rPr>
        <w:t>年</w:t>
      </w:r>
      <w:r>
        <w:rPr>
          <w:rFonts w:hint="eastAsia" w:ascii="宋体" w:hAnsi="宋体"/>
          <w:b/>
          <w:bCs w:val="0"/>
          <w:color w:val="auto"/>
          <w:sz w:val="44"/>
          <w:szCs w:val="44"/>
          <w:lang w:val="en-US" w:eastAsia="zh-CN"/>
        </w:rPr>
        <w:t>7</w:t>
      </w:r>
      <w:r>
        <w:rPr>
          <w:rFonts w:hint="eastAsia" w:ascii="宋体" w:hAnsi="宋体"/>
          <w:b/>
          <w:bCs w:val="0"/>
          <w:color w:val="auto"/>
          <w:sz w:val="44"/>
          <w:szCs w:val="44"/>
        </w:rPr>
        <w:t>月</w:t>
      </w:r>
      <w:r>
        <w:rPr>
          <w:rFonts w:hint="eastAsia" w:ascii="宋体" w:hAnsi="宋体"/>
          <w:b/>
          <w:bCs w:val="0"/>
          <w:color w:val="auto"/>
          <w:sz w:val="44"/>
          <w:szCs w:val="44"/>
          <w:lang w:val="en-US" w:eastAsia="zh-CN"/>
        </w:rPr>
        <w:t xml:space="preserve"> 15 </w:t>
      </w:r>
      <w:r>
        <w:rPr>
          <w:rFonts w:hint="eastAsia" w:ascii="宋体" w:hAnsi="宋体"/>
          <w:b/>
          <w:bCs w:val="0"/>
          <w:color w:val="auto"/>
          <w:sz w:val="44"/>
          <w:szCs w:val="44"/>
        </w:rPr>
        <w:t>日</w:t>
      </w:r>
    </w:p>
    <w:p>
      <w:pPr>
        <w:kinsoku w:val="0"/>
        <w:overflowPunct w:val="0"/>
        <w:adjustRightInd w:val="0"/>
        <w:snapToGrid w:val="0"/>
        <w:spacing w:line="360" w:lineRule="auto"/>
        <w:ind w:left="-142" w:firstLine="39" w:firstLineChars="7"/>
        <w:jc w:val="center"/>
        <w:rPr>
          <w:rFonts w:ascii="黑体" w:hAnsi="Times New Roman" w:eastAsia="黑体" w:cs="黑体"/>
          <w:color w:val="auto"/>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color w:val="auto"/>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color w:val="auto"/>
          <w:sz w:val="56"/>
          <w:szCs w:val="56"/>
        </w:rPr>
      </w:pPr>
    </w:p>
    <w:p>
      <w:pPr>
        <w:kinsoku w:val="0"/>
        <w:overflowPunct w:val="0"/>
        <w:adjustRightInd w:val="0"/>
        <w:snapToGrid w:val="0"/>
        <w:spacing w:line="360" w:lineRule="auto"/>
        <w:rPr>
          <w:rFonts w:ascii="黑体" w:hAnsi="Times New Roman" w:eastAsia="黑体" w:cs="黑体"/>
          <w:color w:val="auto"/>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color w:val="auto"/>
          <w:sz w:val="56"/>
          <w:szCs w:val="56"/>
        </w:rPr>
      </w:pPr>
      <w:r>
        <w:rPr>
          <w:rFonts w:hint="eastAsia" w:ascii="黑体" w:hAnsi="Times New Roman" w:eastAsia="黑体" w:cs="黑体"/>
          <w:color w:val="auto"/>
          <w:sz w:val="56"/>
          <w:szCs w:val="56"/>
        </w:rPr>
        <w:t>目  录</w:t>
      </w:r>
    </w:p>
    <w:p>
      <w:pPr>
        <w:kinsoku w:val="0"/>
        <w:overflowPunct w:val="0"/>
        <w:adjustRightInd w:val="0"/>
        <w:snapToGrid w:val="0"/>
        <w:spacing w:line="360" w:lineRule="auto"/>
        <w:ind w:firstLine="640" w:firstLineChars="200"/>
        <w:rPr>
          <w:rFonts w:ascii="黑体" w:hAnsi="Times New Roman" w:eastAsia="黑体" w:cs="黑体"/>
          <w:color w:val="auto"/>
          <w:w w:val="99"/>
          <w:sz w:val="32"/>
          <w:szCs w:val="32"/>
        </w:rPr>
      </w:pPr>
      <w:r>
        <w:rPr>
          <w:rFonts w:hint="eastAsia" w:ascii="黑体" w:hAnsi="Times New Roman" w:eastAsia="黑体" w:cs="黑体"/>
          <w:color w:val="auto"/>
          <w:sz w:val="32"/>
          <w:szCs w:val="32"/>
        </w:rPr>
        <w:t>第一部分</w:t>
      </w:r>
      <w:r>
        <w:rPr>
          <w:rFonts w:ascii="黑体" w:hAnsi="Times New Roman" w:eastAsia="黑体" w:cs="黑体"/>
          <w:color w:val="auto"/>
          <w:sz w:val="32"/>
          <w:szCs w:val="32"/>
        </w:rPr>
        <w:t xml:space="preserve">  </w:t>
      </w:r>
      <w:r>
        <w:rPr>
          <w:rFonts w:hint="eastAsia" w:ascii="黑体" w:hAnsi="黑体" w:eastAsia="黑体"/>
          <w:color w:val="auto"/>
          <w:sz w:val="32"/>
          <w:szCs w:val="32"/>
        </w:rPr>
        <w:t>部门</w:t>
      </w:r>
      <w:r>
        <w:rPr>
          <w:rFonts w:hint="eastAsia" w:ascii="黑体" w:hAnsi="Times New Roman" w:eastAsia="黑体" w:cs="黑体"/>
          <w:color w:val="auto"/>
          <w:sz w:val="32"/>
          <w:szCs w:val="32"/>
        </w:rPr>
        <w:t>概况</w:t>
      </w:r>
    </w:p>
    <w:p>
      <w:pPr>
        <w:kinsoku w:val="0"/>
        <w:overflowPunct w:val="0"/>
        <w:adjustRightInd w:val="0"/>
        <w:snapToGrid w:val="0"/>
        <w:spacing w:line="360" w:lineRule="auto"/>
        <w:ind w:firstLine="960" w:firstLineChars="300"/>
        <w:jc w:val="left"/>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一、主要职能</w:t>
      </w:r>
    </w:p>
    <w:p>
      <w:pPr>
        <w:kinsoku w:val="0"/>
        <w:overflowPunct w:val="0"/>
        <w:adjustRightInd w:val="0"/>
        <w:snapToGrid w:val="0"/>
        <w:spacing w:line="360" w:lineRule="auto"/>
        <w:ind w:firstLine="960" w:firstLineChars="300"/>
        <w:jc w:val="left"/>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二、部门预算单位构成</w:t>
      </w:r>
    </w:p>
    <w:p>
      <w:pPr>
        <w:kinsoku w:val="0"/>
        <w:overflowPunct w:val="0"/>
        <w:adjustRightInd w:val="0"/>
        <w:snapToGrid w:val="0"/>
        <w:spacing w:line="360" w:lineRule="auto"/>
        <w:ind w:firstLine="640" w:firstLineChars="200"/>
        <w:rPr>
          <w:rFonts w:ascii="黑体" w:hAnsi="Times New Roman" w:eastAsia="黑体" w:cs="黑体"/>
          <w:color w:val="auto"/>
          <w:w w:val="99"/>
          <w:sz w:val="32"/>
          <w:szCs w:val="32"/>
        </w:rPr>
      </w:pPr>
      <w:r>
        <w:rPr>
          <w:rFonts w:hint="eastAsia" w:ascii="黑体" w:hAnsi="Times New Roman" w:eastAsia="黑体" w:cs="黑体"/>
          <w:color w:val="auto"/>
          <w:sz w:val="32"/>
          <w:szCs w:val="32"/>
        </w:rPr>
        <w:t>第二部分</w:t>
      </w:r>
      <w:r>
        <w:rPr>
          <w:rFonts w:ascii="黑体" w:hAnsi="Times New Roman" w:eastAsia="黑体" w:cs="黑体"/>
          <w:color w:val="auto"/>
          <w:sz w:val="32"/>
          <w:szCs w:val="32"/>
        </w:rPr>
        <w:t xml:space="preserve"> </w:t>
      </w:r>
      <w:r>
        <w:rPr>
          <w:rFonts w:hint="eastAsia" w:ascii="黑体" w:hAnsi="Times New Roman" w:eastAsia="黑体" w:cs="黑体"/>
          <w:color w:val="auto"/>
          <w:sz w:val="32"/>
          <w:szCs w:val="32"/>
        </w:rPr>
        <w:t xml:space="preserve"> </w:t>
      </w:r>
      <w:r>
        <w:rPr>
          <w:rFonts w:ascii="黑体" w:hAnsi="Times New Roman" w:eastAsia="黑体" w:cs="黑体"/>
          <w:color w:val="auto"/>
          <w:sz w:val="32"/>
          <w:szCs w:val="32"/>
        </w:rPr>
        <w:t>20</w:t>
      </w:r>
      <w:r>
        <w:rPr>
          <w:rFonts w:hint="eastAsia" w:ascii="黑体" w:hAnsi="Times New Roman" w:eastAsia="黑体" w:cs="黑体"/>
          <w:color w:val="auto"/>
          <w:sz w:val="32"/>
          <w:szCs w:val="32"/>
        </w:rPr>
        <w:t>2</w:t>
      </w:r>
      <w:r>
        <w:rPr>
          <w:rFonts w:hint="eastAsia" w:ascii="黑体" w:hAnsi="Times New Roman" w:eastAsia="黑体" w:cs="黑体"/>
          <w:color w:val="auto"/>
          <w:sz w:val="32"/>
          <w:szCs w:val="32"/>
          <w:lang w:val="en-US" w:eastAsia="zh-CN"/>
        </w:rPr>
        <w:t>3</w:t>
      </w:r>
      <w:r>
        <w:rPr>
          <w:rFonts w:hint="eastAsia" w:ascii="黑体" w:hAnsi="Times New Roman" w:eastAsia="黑体" w:cs="黑体"/>
          <w:color w:val="auto"/>
          <w:sz w:val="32"/>
          <w:szCs w:val="32"/>
        </w:rPr>
        <w:t>年度部门预算情况说明</w:t>
      </w:r>
    </w:p>
    <w:p>
      <w:pPr>
        <w:kinsoku w:val="0"/>
        <w:overflowPunct w:val="0"/>
        <w:adjustRightInd w:val="0"/>
        <w:snapToGrid w:val="0"/>
        <w:spacing w:line="360" w:lineRule="auto"/>
        <w:jc w:val="left"/>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一、部门收支总体情况说明</w:t>
      </w:r>
    </w:p>
    <w:p>
      <w:pPr>
        <w:kinsoku w:val="0"/>
        <w:overflowPunct w:val="0"/>
        <w:adjustRightInd w:val="0"/>
        <w:snapToGrid w:val="0"/>
        <w:spacing w:line="360" w:lineRule="auto"/>
        <w:jc w:val="left"/>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二、部门收入总体情况说明</w:t>
      </w:r>
    </w:p>
    <w:p>
      <w:pPr>
        <w:kinsoku w:val="0"/>
        <w:overflowPunct w:val="0"/>
        <w:adjustRightInd w:val="0"/>
        <w:snapToGrid w:val="0"/>
        <w:spacing w:line="360" w:lineRule="auto"/>
        <w:ind w:firstLine="960" w:firstLineChars="300"/>
        <w:jc w:val="left"/>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三、部门支出总体情况说明</w:t>
      </w:r>
    </w:p>
    <w:p>
      <w:pPr>
        <w:kinsoku w:val="0"/>
        <w:overflowPunct w:val="0"/>
        <w:adjustRightInd w:val="0"/>
        <w:snapToGrid w:val="0"/>
        <w:spacing w:line="360" w:lineRule="auto"/>
        <w:jc w:val="left"/>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四、财政拨款收支总体情况说明</w:t>
      </w:r>
    </w:p>
    <w:p>
      <w:pPr>
        <w:kinsoku w:val="0"/>
        <w:overflowPunct w:val="0"/>
        <w:adjustRightInd w:val="0"/>
        <w:snapToGrid w:val="0"/>
        <w:spacing w:line="360" w:lineRule="auto"/>
        <w:jc w:val="left"/>
        <w:rPr>
          <w:rFonts w:hint="eastAsia" w:ascii="仿宋_GB2312" w:hAnsi="Times New Roman" w:eastAsia="仿宋_GB2312" w:cs="仿宋_GB2312"/>
          <w:color w:val="auto"/>
          <w:sz w:val="32"/>
          <w:szCs w:val="32"/>
        </w:rPr>
      </w:pP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五、一般公共预算支出情况说明</w:t>
      </w:r>
    </w:p>
    <w:p>
      <w:pPr>
        <w:kinsoku w:val="0"/>
        <w:overflowPunct w:val="0"/>
        <w:adjustRightInd w:val="0"/>
        <w:snapToGrid w:val="0"/>
        <w:spacing w:line="360" w:lineRule="auto"/>
        <w:ind w:firstLine="960" w:firstLineChars="300"/>
        <w:jc w:val="left"/>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六、一般公共预算</w:t>
      </w:r>
      <w:r>
        <w:rPr>
          <w:rFonts w:hint="eastAsia" w:ascii="仿宋_GB2312" w:hAnsi="Times New Roman" w:eastAsia="仿宋_GB2312" w:cs="仿宋_GB2312"/>
          <w:color w:val="auto"/>
          <w:sz w:val="32"/>
          <w:szCs w:val="32"/>
          <w:lang w:eastAsia="zh-CN"/>
        </w:rPr>
        <w:t>基本</w:t>
      </w:r>
      <w:r>
        <w:rPr>
          <w:rFonts w:hint="eastAsia" w:ascii="仿宋_GB2312" w:hAnsi="Times New Roman" w:eastAsia="仿宋_GB2312" w:cs="仿宋_GB2312"/>
          <w:color w:val="auto"/>
          <w:sz w:val="32"/>
          <w:szCs w:val="32"/>
        </w:rPr>
        <w:t>支出情况说明</w:t>
      </w:r>
    </w:p>
    <w:p>
      <w:pPr>
        <w:kinsoku w:val="0"/>
        <w:overflowPunct w:val="0"/>
        <w:adjustRightInd w:val="0"/>
        <w:snapToGrid w:val="0"/>
        <w:spacing w:line="360" w:lineRule="auto"/>
        <w:jc w:val="left"/>
        <w:rPr>
          <w:rFonts w:hint="eastAsia" w:ascii="仿宋_GB2312" w:hAnsi="Times New Roman" w:eastAsia="仿宋_GB2312" w:cs="仿宋_GB2312"/>
          <w:color w:val="auto"/>
          <w:sz w:val="32"/>
          <w:szCs w:val="32"/>
          <w:lang w:eastAsia="zh-CN"/>
        </w:rPr>
      </w:pP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七、一般公共预算“三公”经费支</w:t>
      </w:r>
      <w:r>
        <w:rPr>
          <w:rFonts w:hint="eastAsia" w:ascii="仿宋_GB2312" w:hAnsi="Times New Roman" w:eastAsia="仿宋_GB2312" w:cs="仿宋_GB2312"/>
          <w:color w:val="auto"/>
          <w:sz w:val="32"/>
          <w:szCs w:val="32"/>
          <w:lang w:eastAsia="zh-CN"/>
        </w:rPr>
        <w:t>出预算情况说明</w:t>
      </w:r>
    </w:p>
    <w:p>
      <w:pPr>
        <w:kinsoku w:val="0"/>
        <w:overflowPunct w:val="0"/>
        <w:adjustRightInd w:val="0"/>
        <w:snapToGrid w:val="0"/>
        <w:spacing w:line="360" w:lineRule="auto"/>
        <w:jc w:val="left"/>
        <w:rPr>
          <w:rFonts w:hint="eastAsia" w:ascii="仿宋_GB2312" w:hAnsi="Times New Roman" w:eastAsia="仿宋_GB2312" w:cs="仿宋_GB2312"/>
          <w:color w:val="auto"/>
          <w:sz w:val="32"/>
          <w:szCs w:val="32"/>
          <w:lang w:eastAsia="zh-CN"/>
        </w:rPr>
      </w:pP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八、政府性基金预算支出情况</w:t>
      </w:r>
      <w:r>
        <w:rPr>
          <w:rFonts w:hint="eastAsia" w:ascii="仿宋_GB2312" w:hAnsi="Times New Roman" w:eastAsia="仿宋_GB2312" w:cs="仿宋_GB2312"/>
          <w:color w:val="auto"/>
          <w:sz w:val="32"/>
          <w:szCs w:val="32"/>
          <w:lang w:eastAsia="zh-CN"/>
        </w:rPr>
        <w:t>说明</w:t>
      </w:r>
    </w:p>
    <w:p>
      <w:pPr>
        <w:kinsoku w:val="0"/>
        <w:overflowPunct w:val="0"/>
        <w:adjustRightInd w:val="0"/>
        <w:snapToGrid w:val="0"/>
        <w:spacing w:line="360" w:lineRule="auto"/>
        <w:ind w:firstLine="960" w:firstLineChars="300"/>
        <w:jc w:val="left"/>
        <w:rPr>
          <w:rFonts w:ascii="仿宋_GB2312" w:eastAsia="仿宋_GB2312"/>
          <w:b/>
          <w:color w:val="auto"/>
          <w:sz w:val="32"/>
          <w:szCs w:val="32"/>
          <w:shd w:val="clear" w:color="auto" w:fill="FFFFFF"/>
        </w:rPr>
      </w:pPr>
      <w:r>
        <w:rPr>
          <w:rFonts w:hint="eastAsia" w:ascii="仿宋_GB2312" w:hAnsi="Times New Roman" w:eastAsia="仿宋_GB2312" w:cs="仿宋_GB2312"/>
          <w:color w:val="auto"/>
          <w:sz w:val="32"/>
          <w:szCs w:val="32"/>
          <w:lang w:eastAsia="zh-CN"/>
        </w:rPr>
        <w:t>九</w:t>
      </w:r>
      <w:r>
        <w:rPr>
          <w:rFonts w:hint="eastAsia" w:ascii="仿宋_GB2312" w:hAnsi="Times New Roman" w:eastAsia="仿宋_GB2312" w:cs="仿宋_GB2312"/>
          <w:color w:val="auto"/>
          <w:sz w:val="32"/>
          <w:szCs w:val="32"/>
        </w:rPr>
        <w:t>、</w:t>
      </w:r>
      <w:r>
        <w:rPr>
          <w:rFonts w:hint="eastAsia" w:ascii="仿宋_GB2312" w:eastAsia="仿宋_GB2312"/>
          <w:color w:val="auto"/>
          <w:sz w:val="32"/>
          <w:szCs w:val="32"/>
          <w:shd w:val="clear" w:color="auto" w:fill="FFFFFF"/>
        </w:rPr>
        <w:t>其他重要事项的情况说明</w:t>
      </w:r>
    </w:p>
    <w:p>
      <w:pPr>
        <w:kinsoku w:val="0"/>
        <w:overflowPunct w:val="0"/>
        <w:adjustRightInd w:val="0"/>
        <w:snapToGrid w:val="0"/>
        <w:spacing w:line="360" w:lineRule="auto"/>
        <w:ind w:firstLine="640" w:firstLineChars="200"/>
        <w:jc w:val="left"/>
        <w:rPr>
          <w:rFonts w:ascii="黑体" w:hAnsi="Times New Roman" w:eastAsia="黑体" w:cs="黑体"/>
          <w:color w:val="auto"/>
          <w:sz w:val="32"/>
          <w:szCs w:val="32"/>
        </w:rPr>
      </w:pPr>
      <w:r>
        <w:rPr>
          <w:rFonts w:hint="eastAsia" w:ascii="黑体" w:hAnsi="Times New Roman" w:eastAsia="黑体" w:cs="黑体"/>
          <w:color w:val="auto"/>
          <w:sz w:val="32"/>
          <w:szCs w:val="32"/>
        </w:rPr>
        <w:t xml:space="preserve">第三部分  </w:t>
      </w:r>
      <w:r>
        <w:rPr>
          <w:rFonts w:hint="eastAsia" w:ascii="黑体" w:hAnsi="Times New Roman" w:eastAsia="黑体" w:cs="黑体"/>
          <w:color w:val="auto"/>
          <w:spacing w:val="-32"/>
          <w:sz w:val="32"/>
          <w:szCs w:val="32"/>
        </w:rPr>
        <w:t>名词解释</w:t>
      </w:r>
    </w:p>
    <w:p>
      <w:pPr>
        <w:kinsoku w:val="0"/>
        <w:overflowPunct w:val="0"/>
        <w:adjustRightInd w:val="0"/>
        <w:snapToGrid w:val="0"/>
        <w:spacing w:line="360" w:lineRule="auto"/>
        <w:ind w:firstLine="630"/>
        <w:rPr>
          <w:rFonts w:ascii="黑体" w:hAnsi="Times New Roman" w:eastAsia="黑体" w:cs="黑体"/>
          <w:color w:val="auto"/>
          <w:sz w:val="32"/>
          <w:szCs w:val="32"/>
        </w:rPr>
      </w:pPr>
      <w:r>
        <w:rPr>
          <w:rFonts w:hint="eastAsia" w:ascii="黑体" w:hAnsi="Times New Roman" w:eastAsia="黑体" w:cs="黑体"/>
          <w:color w:val="auto"/>
          <w:sz w:val="32"/>
          <w:szCs w:val="32"/>
        </w:rPr>
        <w:t>第</w:t>
      </w:r>
      <w:r>
        <w:rPr>
          <w:rFonts w:hint="eastAsia" w:ascii="黑体" w:hAnsi="Times New Roman" w:eastAsia="黑体" w:cs="黑体"/>
          <w:color w:val="auto"/>
          <w:sz w:val="32"/>
          <w:szCs w:val="32"/>
          <w:lang w:eastAsia="zh-CN"/>
        </w:rPr>
        <w:t>四</w:t>
      </w:r>
      <w:r>
        <w:rPr>
          <w:rFonts w:hint="eastAsia" w:ascii="黑体" w:hAnsi="Times New Roman" w:eastAsia="黑体" w:cs="黑体"/>
          <w:color w:val="auto"/>
          <w:sz w:val="32"/>
          <w:szCs w:val="32"/>
        </w:rPr>
        <w:t>部分</w:t>
      </w:r>
      <w:r>
        <w:rPr>
          <w:rFonts w:hint="eastAsia" w:ascii="黑体" w:hAnsi="Times New Roman" w:eastAsia="黑体" w:cs="黑体"/>
          <w:color w:val="auto"/>
          <w:sz w:val="32"/>
          <w:szCs w:val="32"/>
          <w:lang w:val="en-US" w:eastAsia="zh-CN"/>
        </w:rPr>
        <w:t xml:space="preserve">  </w:t>
      </w:r>
      <w:r>
        <w:rPr>
          <w:rFonts w:hint="eastAsia" w:ascii="黑体" w:hAnsi="黑体" w:eastAsia="黑体"/>
          <w:color w:val="auto"/>
          <w:sz w:val="32"/>
          <w:szCs w:val="32"/>
        </w:rPr>
        <w:t>附件</w:t>
      </w:r>
      <w:r>
        <w:rPr>
          <w:rFonts w:ascii="黑体" w:hAnsi="Times New Roman" w:eastAsia="黑体" w:cs="黑体"/>
          <w:color w:val="auto"/>
          <w:sz w:val="32"/>
          <w:szCs w:val="32"/>
        </w:rPr>
        <w:t>20</w:t>
      </w:r>
      <w:r>
        <w:rPr>
          <w:rFonts w:hint="eastAsia" w:ascii="黑体" w:hAnsi="Times New Roman" w:eastAsia="黑体" w:cs="黑体"/>
          <w:color w:val="auto"/>
          <w:sz w:val="32"/>
          <w:szCs w:val="32"/>
        </w:rPr>
        <w:t>2</w:t>
      </w:r>
      <w:r>
        <w:rPr>
          <w:rFonts w:hint="eastAsia" w:ascii="黑体" w:hAnsi="Times New Roman" w:eastAsia="黑体" w:cs="黑体"/>
          <w:color w:val="auto"/>
          <w:sz w:val="32"/>
          <w:szCs w:val="32"/>
          <w:lang w:val="en-US" w:eastAsia="zh-CN"/>
        </w:rPr>
        <w:t>3</w:t>
      </w:r>
      <w:r>
        <w:rPr>
          <w:rFonts w:hint="eastAsia" w:ascii="黑体" w:hAnsi="Times New Roman" w:eastAsia="黑体" w:cs="黑体"/>
          <w:color w:val="auto"/>
          <w:sz w:val="32"/>
          <w:szCs w:val="32"/>
        </w:rPr>
        <w:t>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一、</w:t>
      </w:r>
      <w:r>
        <w:rPr>
          <w:rFonts w:hint="eastAsia" w:ascii="仿宋_GB2312" w:eastAsia="仿宋_GB2312"/>
          <w:color w:val="auto"/>
          <w:sz w:val="32"/>
          <w:szCs w:val="32"/>
        </w:rPr>
        <w:t>部门收支</w:t>
      </w:r>
      <w:r>
        <w:rPr>
          <w:rFonts w:hint="eastAsia" w:ascii="仿宋_GB2312" w:eastAsia="仿宋_GB2312"/>
          <w:color w:val="auto"/>
          <w:sz w:val="32"/>
          <w:szCs w:val="32"/>
          <w:lang w:eastAsia="zh-CN"/>
        </w:rPr>
        <w:t>预算</w:t>
      </w:r>
      <w:r>
        <w:rPr>
          <w:rFonts w:hint="eastAsia" w:ascii="仿宋_GB2312" w:eastAsia="仿宋_GB2312"/>
          <w:color w:val="auto"/>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二、</w:t>
      </w:r>
      <w:r>
        <w:rPr>
          <w:rFonts w:hint="eastAsia" w:ascii="仿宋_GB2312" w:eastAsia="仿宋_GB2312"/>
          <w:color w:val="auto"/>
          <w:sz w:val="32"/>
          <w:szCs w:val="32"/>
        </w:rPr>
        <w:t>部门收入</w:t>
      </w:r>
      <w:r>
        <w:rPr>
          <w:rFonts w:hint="eastAsia" w:ascii="仿宋_GB2312" w:eastAsia="仿宋_GB2312"/>
          <w:color w:val="auto"/>
          <w:sz w:val="32"/>
          <w:szCs w:val="32"/>
          <w:lang w:eastAsia="zh-CN"/>
        </w:rPr>
        <w:t>预算</w:t>
      </w:r>
      <w:r>
        <w:rPr>
          <w:rFonts w:hint="eastAsia" w:ascii="仿宋_GB2312" w:eastAsia="仿宋_GB2312"/>
          <w:color w:val="auto"/>
          <w:sz w:val="32"/>
          <w:szCs w:val="32"/>
        </w:rPr>
        <w:t>表</w:t>
      </w: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r>
        <w:rPr>
          <w:rFonts w:hint="eastAsia" w:ascii="仿宋_GB2312" w:hAnsi="Times New Roman" w:eastAsia="仿宋_GB2312" w:cs="仿宋_GB2312"/>
          <w:color w:val="auto"/>
          <w:sz w:val="32"/>
          <w:szCs w:val="32"/>
        </w:rPr>
        <w:t>三、</w:t>
      </w:r>
      <w:r>
        <w:rPr>
          <w:rFonts w:hint="eastAsia" w:ascii="仿宋_GB2312" w:eastAsia="仿宋_GB2312"/>
          <w:color w:val="auto"/>
          <w:sz w:val="32"/>
          <w:szCs w:val="32"/>
        </w:rPr>
        <w:t>部门支出</w:t>
      </w:r>
      <w:r>
        <w:rPr>
          <w:rFonts w:hint="eastAsia" w:ascii="仿宋_GB2312" w:eastAsia="仿宋_GB2312"/>
          <w:color w:val="auto"/>
          <w:sz w:val="32"/>
          <w:szCs w:val="32"/>
          <w:lang w:eastAsia="zh-CN"/>
        </w:rPr>
        <w:t>预算</w:t>
      </w:r>
      <w:r>
        <w:rPr>
          <w:rFonts w:hint="eastAsia" w:ascii="仿宋_GB2312" w:eastAsia="仿宋_GB2312"/>
          <w:color w:val="auto"/>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四、</w:t>
      </w:r>
      <w:r>
        <w:rPr>
          <w:rFonts w:hint="eastAsia" w:ascii="仿宋_GB2312" w:eastAsia="仿宋_GB2312"/>
          <w:color w:val="auto"/>
          <w:sz w:val="32"/>
          <w:szCs w:val="32"/>
        </w:rPr>
        <w:t>财政拨款收支</w:t>
      </w:r>
      <w:r>
        <w:rPr>
          <w:rFonts w:hint="eastAsia" w:ascii="仿宋_GB2312" w:eastAsia="仿宋_GB2312"/>
          <w:color w:val="auto"/>
          <w:sz w:val="32"/>
          <w:szCs w:val="32"/>
          <w:lang w:eastAsia="zh-CN"/>
        </w:rPr>
        <w:t>预算</w:t>
      </w:r>
      <w:r>
        <w:rPr>
          <w:rFonts w:hint="eastAsia" w:ascii="仿宋_GB2312" w:eastAsia="仿宋_GB2312"/>
          <w:color w:val="auto"/>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五、</w:t>
      </w:r>
      <w:r>
        <w:rPr>
          <w:rFonts w:hint="eastAsia" w:ascii="仿宋_GB2312" w:eastAsia="仿宋_GB2312"/>
          <w:color w:val="auto"/>
          <w:sz w:val="32"/>
          <w:szCs w:val="32"/>
        </w:rPr>
        <w:t>一般公共预算支出</w:t>
      </w:r>
      <w:r>
        <w:rPr>
          <w:rFonts w:hint="eastAsia" w:ascii="仿宋_GB2312" w:eastAsia="仿宋_GB2312"/>
          <w:color w:val="auto"/>
          <w:sz w:val="32"/>
          <w:szCs w:val="32"/>
          <w:lang w:eastAsia="zh-CN"/>
        </w:rPr>
        <w:t>预算</w:t>
      </w:r>
      <w:r>
        <w:rPr>
          <w:rFonts w:hint="eastAsia" w:ascii="仿宋_GB2312" w:eastAsia="仿宋_GB2312"/>
          <w:color w:val="auto"/>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六、</w:t>
      </w:r>
      <w:r>
        <w:rPr>
          <w:rFonts w:hint="eastAsia" w:ascii="仿宋" w:hAnsi="仿宋" w:eastAsia="仿宋" w:cs="仿宋"/>
          <w:color w:val="auto"/>
          <w:sz w:val="30"/>
          <w:szCs w:val="30"/>
        </w:rPr>
        <w:t>一般公共预算</w:t>
      </w:r>
      <w:r>
        <w:rPr>
          <w:rFonts w:hint="eastAsia" w:ascii="仿宋" w:hAnsi="仿宋" w:eastAsia="仿宋" w:cs="仿宋"/>
          <w:color w:val="auto"/>
          <w:sz w:val="30"/>
          <w:szCs w:val="30"/>
          <w:lang w:val="en-US" w:eastAsia="zh-CN"/>
        </w:rPr>
        <w:t>基本支出表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七、</w:t>
      </w:r>
      <w:r>
        <w:rPr>
          <w:rFonts w:hint="eastAsia" w:ascii="仿宋" w:hAnsi="仿宋" w:eastAsia="仿宋" w:cs="仿宋"/>
          <w:color w:val="auto"/>
          <w:sz w:val="30"/>
          <w:szCs w:val="30"/>
          <w:lang w:val="en-US" w:eastAsia="zh-CN"/>
        </w:rPr>
        <w:t>支出经济分类汇总表</w:t>
      </w:r>
    </w:p>
    <w:p>
      <w:pPr>
        <w:kinsoku w:val="0"/>
        <w:overflowPunct w:val="0"/>
        <w:adjustRightInd w:val="0"/>
        <w:snapToGrid w:val="0"/>
        <w:spacing w:line="360" w:lineRule="auto"/>
        <w:ind w:right="51" w:firstLine="960" w:firstLineChars="300"/>
        <w:jc w:val="left"/>
        <w:rPr>
          <w:rFonts w:hint="eastAsia" w:ascii="仿宋_GB2312" w:eastAsia="仿宋_GB2312"/>
          <w:color w:val="auto"/>
          <w:sz w:val="32"/>
          <w:szCs w:val="32"/>
        </w:rPr>
      </w:pPr>
      <w:r>
        <w:rPr>
          <w:rFonts w:hint="eastAsia" w:ascii="仿宋_GB2312" w:hAnsi="Times New Roman" w:eastAsia="仿宋_GB2312" w:cs="仿宋_GB2312"/>
          <w:color w:val="auto"/>
          <w:sz w:val="32"/>
          <w:szCs w:val="32"/>
        </w:rPr>
        <w:t>八、</w:t>
      </w:r>
      <w:r>
        <w:rPr>
          <w:rFonts w:hint="eastAsia" w:ascii="仿宋" w:hAnsi="仿宋" w:eastAsia="仿宋" w:cs="仿宋"/>
          <w:color w:val="auto"/>
          <w:sz w:val="30"/>
          <w:szCs w:val="30"/>
        </w:rPr>
        <w:t>一般公共预算“三公”经费</w:t>
      </w:r>
      <w:r>
        <w:rPr>
          <w:rFonts w:hint="eastAsia" w:ascii="仿宋" w:hAnsi="仿宋" w:eastAsia="仿宋" w:cs="仿宋"/>
          <w:color w:val="auto"/>
          <w:sz w:val="30"/>
          <w:szCs w:val="30"/>
          <w:lang w:val="en-US" w:eastAsia="zh-CN"/>
        </w:rPr>
        <w:t>预算表</w:t>
      </w:r>
    </w:p>
    <w:p>
      <w:pPr>
        <w:kinsoku w:val="0"/>
        <w:overflowPunct w:val="0"/>
        <w:adjustRightInd w:val="0"/>
        <w:snapToGrid w:val="0"/>
        <w:spacing w:line="360" w:lineRule="auto"/>
        <w:ind w:right="51" w:firstLine="960" w:firstLineChars="300"/>
        <w:jc w:val="left"/>
        <w:rPr>
          <w:rFonts w:hint="eastAsia" w:ascii="仿宋_GB2312" w:eastAsia="仿宋_GB2312"/>
          <w:color w:val="auto"/>
          <w:sz w:val="32"/>
          <w:szCs w:val="32"/>
        </w:rPr>
      </w:pPr>
      <w:r>
        <w:rPr>
          <w:rFonts w:hint="eastAsia" w:ascii="仿宋_GB2312" w:eastAsia="仿宋_GB2312"/>
          <w:color w:val="auto"/>
          <w:sz w:val="32"/>
          <w:szCs w:val="32"/>
        </w:rPr>
        <w:t>九、</w:t>
      </w:r>
      <w:r>
        <w:rPr>
          <w:rFonts w:hint="eastAsia" w:ascii="仿宋" w:hAnsi="仿宋" w:eastAsia="仿宋" w:cs="仿宋"/>
          <w:color w:val="auto"/>
          <w:sz w:val="30"/>
          <w:szCs w:val="30"/>
        </w:rPr>
        <w:t>政府性基金预算支出</w:t>
      </w:r>
      <w:r>
        <w:rPr>
          <w:rFonts w:hint="eastAsia" w:ascii="仿宋" w:hAnsi="仿宋" w:eastAsia="仿宋" w:cs="仿宋"/>
          <w:color w:val="auto"/>
          <w:sz w:val="30"/>
          <w:szCs w:val="30"/>
          <w:lang w:val="en-US" w:eastAsia="zh-CN"/>
        </w:rPr>
        <w:t>预算表</w:t>
      </w:r>
    </w:p>
    <w:p>
      <w:pPr>
        <w:kinsoku w:val="0"/>
        <w:overflowPunct w:val="0"/>
        <w:adjustRightInd w:val="0"/>
        <w:snapToGrid w:val="0"/>
        <w:spacing w:line="360" w:lineRule="auto"/>
        <w:ind w:right="51" w:firstLine="960" w:firstLineChars="300"/>
        <w:jc w:val="left"/>
        <w:rPr>
          <w:rFonts w:hint="eastAsia" w:ascii="仿宋" w:hAnsi="仿宋" w:eastAsia="仿宋" w:cs="仿宋"/>
          <w:color w:val="auto"/>
          <w:sz w:val="30"/>
          <w:szCs w:val="30"/>
          <w:lang w:val="en-US" w:eastAsia="zh-CN"/>
        </w:rPr>
      </w:pPr>
      <w:r>
        <w:rPr>
          <w:rFonts w:hint="eastAsia" w:ascii="仿宋_GB2312" w:eastAsia="仿宋_GB2312"/>
          <w:color w:val="auto"/>
          <w:sz w:val="32"/>
          <w:szCs w:val="32"/>
        </w:rPr>
        <w:t>十、</w:t>
      </w:r>
      <w:r>
        <w:rPr>
          <w:rFonts w:hint="eastAsia" w:ascii="仿宋" w:hAnsi="仿宋" w:eastAsia="仿宋" w:cs="仿宋"/>
          <w:color w:val="auto"/>
          <w:sz w:val="30"/>
          <w:szCs w:val="30"/>
          <w:lang w:eastAsia="zh-CN"/>
        </w:rPr>
        <w:t>项目支出</w:t>
      </w:r>
      <w:r>
        <w:rPr>
          <w:rFonts w:hint="eastAsia" w:ascii="仿宋" w:hAnsi="仿宋" w:eastAsia="仿宋" w:cs="仿宋"/>
          <w:color w:val="auto"/>
          <w:sz w:val="30"/>
          <w:szCs w:val="30"/>
          <w:lang w:val="en-US" w:eastAsia="zh-CN"/>
        </w:rPr>
        <w:t>预算表</w:t>
      </w:r>
    </w:p>
    <w:p>
      <w:pPr>
        <w:kinsoku w:val="0"/>
        <w:overflowPunct w:val="0"/>
        <w:adjustRightInd w:val="0"/>
        <w:snapToGrid w:val="0"/>
        <w:spacing w:line="360" w:lineRule="auto"/>
        <w:ind w:right="51" w:firstLine="900" w:firstLineChars="3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十一、部门整体绩效目标表</w:t>
      </w:r>
    </w:p>
    <w:p>
      <w:pPr>
        <w:kinsoku w:val="0"/>
        <w:overflowPunct w:val="0"/>
        <w:adjustRightInd w:val="0"/>
        <w:snapToGrid w:val="0"/>
        <w:spacing w:line="360" w:lineRule="auto"/>
        <w:ind w:right="51" w:firstLine="900" w:firstLineChars="3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十二、部门预算项目绩效目标表</w:t>
      </w:r>
    </w:p>
    <w:p>
      <w:pPr>
        <w:kinsoku w:val="0"/>
        <w:overflowPunct w:val="0"/>
        <w:adjustRightInd w:val="0"/>
        <w:snapToGrid w:val="0"/>
        <w:spacing w:line="360" w:lineRule="auto"/>
        <w:ind w:right="51" w:firstLine="900" w:firstLineChars="300"/>
        <w:jc w:val="left"/>
        <w:rPr>
          <w:rFonts w:hint="eastAsia" w:ascii="仿宋" w:hAnsi="仿宋" w:eastAsia="仿宋" w:cs="仿宋"/>
          <w:color w:val="auto"/>
          <w:sz w:val="30"/>
          <w:szCs w:val="30"/>
          <w:lang w:val="en-US" w:eastAsia="zh-CN"/>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firstLine="960" w:firstLineChars="300"/>
        <w:jc w:val="left"/>
        <w:rPr>
          <w:rFonts w:ascii="仿宋_GB2312" w:eastAsia="仿宋_GB2312"/>
          <w:color w:val="auto"/>
          <w:sz w:val="32"/>
          <w:szCs w:val="32"/>
        </w:rPr>
      </w:pPr>
    </w:p>
    <w:p>
      <w:pPr>
        <w:kinsoku w:val="0"/>
        <w:overflowPunct w:val="0"/>
        <w:adjustRightInd w:val="0"/>
        <w:snapToGrid w:val="0"/>
        <w:spacing w:line="360" w:lineRule="auto"/>
        <w:ind w:right="51"/>
        <w:jc w:val="left"/>
        <w:rPr>
          <w:rFonts w:ascii="仿宋_GB2312" w:eastAsia="仿宋_GB2312"/>
          <w:color w:val="auto"/>
          <w:sz w:val="32"/>
          <w:szCs w:val="32"/>
        </w:rPr>
      </w:pPr>
    </w:p>
    <w:p>
      <w:pPr>
        <w:adjustRightInd w:val="0"/>
        <w:snapToGrid w:val="0"/>
        <w:spacing w:line="360" w:lineRule="auto"/>
        <w:jc w:val="center"/>
        <w:rPr>
          <w:rFonts w:ascii="黑体" w:hAnsi="黑体" w:eastAsia="黑体"/>
          <w:color w:val="auto"/>
          <w:sz w:val="44"/>
          <w:szCs w:val="32"/>
        </w:rPr>
      </w:pPr>
      <w:r>
        <w:rPr>
          <w:rFonts w:hint="eastAsia" w:ascii="黑体" w:hAnsi="黑体" w:eastAsia="黑体"/>
          <w:color w:val="auto"/>
          <w:sz w:val="44"/>
          <w:szCs w:val="32"/>
        </w:rPr>
        <w:t>第一部分</w:t>
      </w:r>
    </w:p>
    <w:p>
      <w:pPr>
        <w:adjustRightInd w:val="0"/>
        <w:snapToGrid w:val="0"/>
        <w:spacing w:line="360" w:lineRule="auto"/>
        <w:jc w:val="center"/>
        <w:rPr>
          <w:rFonts w:ascii="黑体" w:hAnsi="黑体" w:eastAsia="黑体"/>
          <w:color w:val="auto"/>
          <w:sz w:val="40"/>
          <w:szCs w:val="32"/>
        </w:rPr>
      </w:pPr>
      <w:r>
        <w:rPr>
          <w:rFonts w:hint="eastAsia" w:ascii="黑体" w:hAnsi="黑体" w:eastAsia="黑体"/>
          <w:b/>
          <w:bCs/>
          <w:color w:val="auto"/>
          <w:sz w:val="40"/>
          <w:szCs w:val="32"/>
        </w:rPr>
        <w:t>部门概</w:t>
      </w:r>
      <w:r>
        <w:rPr>
          <w:rFonts w:hint="eastAsia" w:ascii="黑体" w:hAnsi="黑体" w:eastAsia="黑体"/>
          <w:color w:val="auto"/>
          <w:sz w:val="40"/>
          <w:szCs w:val="32"/>
        </w:rPr>
        <w:t>况</w:t>
      </w:r>
    </w:p>
    <w:p>
      <w:pPr>
        <w:adjustRightInd w:val="0"/>
        <w:snapToGrid w:val="0"/>
        <w:spacing w:line="360" w:lineRule="auto"/>
        <w:ind w:firstLine="640" w:firstLineChars="200"/>
        <w:jc w:val="center"/>
        <w:rPr>
          <w:rFonts w:ascii="黑体" w:hAnsi="黑体" w:eastAsia="黑体"/>
          <w:color w:val="auto"/>
          <w:sz w:val="32"/>
          <w:szCs w:val="32"/>
        </w:rPr>
      </w:pPr>
    </w:p>
    <w:p>
      <w:pPr>
        <w:numPr>
          <w:ilvl w:val="0"/>
          <w:numId w:val="1"/>
        </w:numPr>
        <w:adjustRightInd w:val="0"/>
        <w:snapToGrid w:val="0"/>
        <w:spacing w:line="360" w:lineRule="auto"/>
        <w:rPr>
          <w:rFonts w:ascii="宋体" w:hAnsi="宋体"/>
          <w:b/>
          <w:bCs/>
          <w:color w:val="auto"/>
          <w:sz w:val="32"/>
          <w:szCs w:val="32"/>
        </w:rPr>
      </w:pPr>
      <w:r>
        <w:rPr>
          <w:rFonts w:hint="eastAsia" w:ascii="宋体" w:hAnsi="宋体"/>
          <w:b/>
          <w:bCs/>
          <w:color w:val="auto"/>
          <w:sz w:val="32"/>
          <w:szCs w:val="32"/>
        </w:rPr>
        <w:t>部门主要职责</w:t>
      </w:r>
    </w:p>
    <w:p>
      <w:pPr>
        <w:adjustRightInd w:val="0"/>
        <w:snapToGrid w:val="0"/>
        <w:spacing w:line="360" w:lineRule="auto"/>
        <w:ind w:firstLine="640" w:firstLineChars="200"/>
        <w:rPr>
          <w:rFonts w:hint="eastAsia" w:ascii="仿宋_GB2312" w:hAnsi="宋体" w:eastAsia="仿宋_GB2312" w:cs="宋体"/>
          <w:color w:val="auto"/>
          <w:kern w:val="2"/>
          <w:sz w:val="32"/>
          <w:szCs w:val="32"/>
          <w:lang w:val="en-US" w:eastAsia="zh-CN" w:bidi="ar-SA"/>
        </w:rPr>
      </w:pPr>
      <w:r>
        <w:rPr>
          <w:rFonts w:hint="eastAsia" w:ascii="黑体" w:hAnsi="黑体" w:eastAsia="黑体"/>
          <w:bCs/>
          <w:color w:val="auto"/>
          <w:sz w:val="32"/>
          <w:szCs w:val="32"/>
          <w:lang w:eastAsia="zh-CN"/>
        </w:rPr>
        <w:t>（一）</w:t>
      </w:r>
      <w:r>
        <w:rPr>
          <w:rFonts w:hint="eastAsia" w:ascii="仿宋_GB2312" w:hAnsi="宋体" w:eastAsia="仿宋_GB2312" w:cs="宋体"/>
          <w:color w:val="auto"/>
          <w:kern w:val="2"/>
          <w:sz w:val="32"/>
          <w:szCs w:val="32"/>
          <w:lang w:val="en-US" w:eastAsia="zh-CN" w:bidi="ar-SA"/>
        </w:rPr>
        <w:t>落实政策，促进发展，维护稳定，加强管理，提供服务。</w:t>
      </w:r>
    </w:p>
    <w:p>
      <w:pPr>
        <w:adjustRightInd w:val="0"/>
        <w:snapToGrid w:val="0"/>
        <w:spacing w:line="360" w:lineRule="auto"/>
        <w:ind w:firstLine="640" w:firstLineChars="200"/>
        <w:rPr>
          <w:rFonts w:hint="eastAsia" w:ascii="仿宋_GB2312" w:hAnsi="宋体" w:eastAsia="仿宋_GB2312" w:cs="宋体"/>
          <w:color w:val="auto"/>
          <w:kern w:val="2"/>
          <w:sz w:val="32"/>
          <w:szCs w:val="32"/>
          <w:lang w:val="en-US" w:eastAsia="zh-CN" w:bidi="ar-SA"/>
        </w:rPr>
      </w:pPr>
      <w:r>
        <w:rPr>
          <w:rFonts w:hint="eastAsia" w:ascii="黑体" w:hAnsi="黑体" w:eastAsia="黑体"/>
          <w:bCs/>
          <w:color w:val="auto"/>
          <w:sz w:val="32"/>
          <w:szCs w:val="32"/>
          <w:lang w:eastAsia="zh-CN"/>
        </w:rPr>
        <w:t>（二）</w:t>
      </w:r>
      <w:r>
        <w:rPr>
          <w:rFonts w:hint="eastAsia" w:ascii="仿宋_GB2312" w:hAnsi="宋体" w:eastAsia="仿宋_GB2312" w:cs="宋体"/>
          <w:color w:val="auto"/>
          <w:kern w:val="2"/>
          <w:sz w:val="32"/>
          <w:szCs w:val="32"/>
          <w:lang w:val="en-US" w:eastAsia="zh-CN" w:bidi="ar-SA"/>
        </w:rPr>
        <w:t>贯彻执行党的路线，方针，政策，讨论决定本乡经济建设和社会发展的重大问题；领导各部门和群众组织，依照国家法律法规及各自章程行使职权；加强乡党委自身建设和村级组织建设；按照干部管理权限，负责对干部的教育，培养，选拔和监督工作；密切联系群众，为全乡农村经济和社会事业发展做好服务。</w:t>
      </w:r>
    </w:p>
    <w:p>
      <w:pPr>
        <w:adjustRightInd w:val="0"/>
        <w:snapToGrid w:val="0"/>
        <w:spacing w:line="360" w:lineRule="auto"/>
        <w:ind w:firstLine="640" w:firstLineChars="200"/>
        <w:rPr>
          <w:rFonts w:ascii="黑体" w:hAnsi="黑体" w:eastAsia="黑体"/>
          <w:b/>
          <w:color w:val="auto"/>
          <w:sz w:val="32"/>
          <w:szCs w:val="32"/>
        </w:rPr>
      </w:pPr>
      <w:r>
        <w:rPr>
          <w:rFonts w:hint="eastAsia" w:ascii="黑体" w:hAnsi="黑体" w:eastAsia="黑体"/>
          <w:color w:val="auto"/>
          <w:sz w:val="32"/>
          <w:szCs w:val="32"/>
        </w:rPr>
        <w:t>二、</w:t>
      </w:r>
      <w:r>
        <w:rPr>
          <w:rFonts w:hint="eastAsia" w:ascii="宋体" w:hAnsi="宋体"/>
          <w:b/>
          <w:bCs/>
          <w:color w:val="auto"/>
          <w:sz w:val="32"/>
          <w:szCs w:val="32"/>
        </w:rPr>
        <w:t>部门预</w:t>
      </w:r>
      <w:r>
        <w:rPr>
          <w:rFonts w:hint="eastAsia" w:ascii="宋体" w:hAnsi="宋体"/>
          <w:b/>
          <w:color w:val="auto"/>
          <w:sz w:val="32"/>
          <w:szCs w:val="32"/>
        </w:rPr>
        <w:t>算单位构成</w:t>
      </w:r>
    </w:p>
    <w:p>
      <w:pPr>
        <w:pStyle w:val="2"/>
        <w:spacing w:line="360" w:lineRule="auto"/>
        <w:ind w:firstLine="600"/>
        <w:rPr>
          <w:rFonts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本部门预算包括机关本级预算和下级所属单位预算</w:t>
      </w:r>
      <w:r>
        <w:rPr>
          <w:rFonts w:hint="eastAsia" w:ascii="仿宋_GB2312" w:hAnsi="宋体" w:eastAsia="仿宋_GB2312" w:cs="宋体"/>
          <w:color w:val="auto"/>
          <w:sz w:val="32"/>
          <w:szCs w:val="32"/>
        </w:rPr>
        <w:t>。本</w:t>
      </w:r>
      <w:r>
        <w:rPr>
          <w:rFonts w:hint="eastAsia" w:ascii="仿宋_GB2312" w:hAnsi="宋体" w:eastAsia="仿宋_GB2312" w:cs="宋体"/>
          <w:color w:val="auto"/>
          <w:sz w:val="32"/>
          <w:szCs w:val="32"/>
          <w:lang w:eastAsia="zh-CN"/>
        </w:rPr>
        <w:t>部门</w:t>
      </w:r>
      <w:r>
        <w:rPr>
          <w:rFonts w:hint="eastAsia" w:ascii="仿宋_GB2312" w:hAnsi="宋体" w:eastAsia="仿宋_GB2312" w:cs="宋体"/>
          <w:color w:val="auto"/>
          <w:sz w:val="32"/>
          <w:szCs w:val="32"/>
        </w:rPr>
        <w:t>预算为汇总预算</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有二级机构</w:t>
      </w: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rPr>
        <w:t>个，三级预算单位</w:t>
      </w:r>
      <w:r>
        <w:rPr>
          <w:rFonts w:hint="eastAsia" w:ascii="仿宋_GB2312" w:hAnsi="宋体" w:eastAsia="仿宋_GB2312" w:cs="宋体"/>
          <w:color w:val="auto"/>
          <w:sz w:val="32"/>
          <w:szCs w:val="32"/>
          <w:lang w:val="en-US" w:eastAsia="zh-CN"/>
        </w:rPr>
        <w:t>0</w:t>
      </w:r>
      <w:r>
        <w:rPr>
          <w:rFonts w:hint="eastAsia" w:ascii="仿宋_GB2312" w:hAnsi="宋体" w:eastAsia="仿宋_GB2312" w:cs="宋体"/>
          <w:color w:val="auto"/>
          <w:sz w:val="32"/>
          <w:szCs w:val="32"/>
        </w:rPr>
        <w:t>个。纳入202</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年度部门预算编报范围的预算单位如下：</w:t>
      </w:r>
      <w:r>
        <w:rPr>
          <w:rFonts w:ascii="仿宋_GB2312" w:hAnsi="宋体" w:eastAsia="仿宋_GB2312" w:cs="宋体"/>
          <w:color w:val="auto"/>
          <w:sz w:val="32"/>
          <w:szCs w:val="32"/>
        </w:rPr>
        <w:t xml:space="preserve"> </w:t>
      </w:r>
    </w:p>
    <w:p>
      <w:pPr>
        <w:adjustRightInd w:val="0"/>
        <w:snapToGrid w:val="0"/>
        <w:spacing w:line="360" w:lineRule="auto"/>
        <w:ind w:firstLine="640" w:firstLineChars="200"/>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1、东风乡人民政府机关本级</w:t>
      </w:r>
    </w:p>
    <w:p>
      <w:pPr>
        <w:adjustRightInd w:val="0"/>
        <w:snapToGrid w:val="0"/>
        <w:spacing w:line="360" w:lineRule="auto"/>
        <w:ind w:firstLine="640" w:firstLineChars="200"/>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2、东风乡人民政府文化服务中心（二级）</w:t>
      </w:r>
    </w:p>
    <w:p>
      <w:pPr>
        <w:adjustRightInd w:val="0"/>
        <w:snapToGrid w:val="0"/>
        <w:spacing w:line="360" w:lineRule="auto"/>
        <w:ind w:firstLine="640" w:firstLineChars="200"/>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3、东风乡人民政府村镇建设发展中心（二级）</w:t>
      </w:r>
    </w:p>
    <w:p>
      <w:pPr>
        <w:adjustRightInd w:val="0"/>
        <w:snapToGrid w:val="0"/>
        <w:spacing w:line="360" w:lineRule="auto"/>
        <w:ind w:firstLine="640" w:firstLineChars="200"/>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4、东风乡人民政府农业服务中心中心（二级）</w:t>
      </w:r>
    </w:p>
    <w:p>
      <w:pPr>
        <w:adjustRightInd w:val="0"/>
        <w:snapToGrid w:val="0"/>
        <w:spacing w:line="360" w:lineRule="auto"/>
        <w:ind w:firstLine="640" w:firstLineChars="200"/>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5、东风乡人民政府计划生育服务中心（二级）</w:t>
      </w:r>
    </w:p>
    <w:p>
      <w:pPr>
        <w:adjustRightInd w:val="0"/>
        <w:snapToGrid w:val="0"/>
        <w:spacing w:line="360" w:lineRule="auto"/>
        <w:ind w:firstLine="640" w:firstLineChars="200"/>
        <w:jc w:val="both"/>
        <w:rPr>
          <w:rFonts w:ascii="黑体" w:hAnsi="Times New Roman" w:eastAsia="黑体" w:cs="黑体"/>
          <w:color w:val="auto"/>
          <w:sz w:val="32"/>
          <w:szCs w:val="32"/>
        </w:rPr>
      </w:pPr>
      <w:r>
        <w:rPr>
          <w:rFonts w:hint="eastAsia" w:ascii="仿宋_GB2312" w:hAnsi="宋体" w:eastAsia="仿宋_GB2312" w:cs="宋体"/>
          <w:color w:val="auto"/>
          <w:sz w:val="32"/>
          <w:szCs w:val="32"/>
        </w:rPr>
        <w:t>6、东风乡人民政府国土资源所（二级）</w:t>
      </w:r>
    </w:p>
    <w:p>
      <w:pPr>
        <w:adjustRightInd w:val="0"/>
        <w:snapToGrid w:val="0"/>
        <w:spacing w:line="360" w:lineRule="auto"/>
        <w:jc w:val="center"/>
        <w:rPr>
          <w:rFonts w:ascii="黑体" w:hAnsi="Times New Roman" w:eastAsia="黑体" w:cs="黑体"/>
          <w:color w:val="auto"/>
          <w:sz w:val="32"/>
          <w:szCs w:val="32"/>
        </w:rPr>
      </w:pPr>
    </w:p>
    <w:p>
      <w:pPr>
        <w:adjustRightInd w:val="0"/>
        <w:snapToGrid w:val="0"/>
        <w:spacing w:line="360" w:lineRule="auto"/>
        <w:jc w:val="both"/>
        <w:rPr>
          <w:rFonts w:ascii="黑体" w:hAnsi="Times New Roman" w:eastAsia="黑体" w:cs="黑体"/>
          <w:color w:val="auto"/>
          <w:sz w:val="32"/>
          <w:szCs w:val="32"/>
        </w:rPr>
      </w:pPr>
    </w:p>
    <w:p>
      <w:pPr>
        <w:adjustRightInd w:val="0"/>
        <w:snapToGrid w:val="0"/>
        <w:spacing w:line="360" w:lineRule="auto"/>
        <w:jc w:val="center"/>
        <w:rPr>
          <w:rFonts w:ascii="宋体" w:hAnsi="宋体" w:cs="黑体"/>
          <w:b/>
          <w:color w:val="auto"/>
          <w:spacing w:val="-38"/>
          <w:sz w:val="40"/>
          <w:szCs w:val="32"/>
        </w:rPr>
      </w:pPr>
      <w:r>
        <w:rPr>
          <w:rFonts w:hint="eastAsia" w:ascii="宋体" w:hAnsi="宋体" w:cs="黑体"/>
          <w:b/>
          <w:color w:val="auto"/>
          <w:sz w:val="40"/>
          <w:szCs w:val="32"/>
        </w:rPr>
        <w:t>第二部分</w:t>
      </w:r>
    </w:p>
    <w:p>
      <w:pPr>
        <w:adjustRightInd w:val="0"/>
        <w:snapToGrid w:val="0"/>
        <w:spacing w:line="360" w:lineRule="auto"/>
        <w:jc w:val="center"/>
        <w:rPr>
          <w:rFonts w:ascii="黑体" w:hAnsi="黑体" w:eastAsia="黑体"/>
          <w:b/>
          <w:bCs/>
          <w:color w:val="auto"/>
          <w:sz w:val="40"/>
          <w:szCs w:val="32"/>
        </w:rPr>
      </w:pPr>
      <w:r>
        <w:rPr>
          <w:rFonts w:ascii="黑体" w:hAnsi="Times New Roman" w:eastAsia="黑体" w:cs="黑体"/>
          <w:b/>
          <w:bCs/>
          <w:color w:val="auto"/>
          <w:sz w:val="40"/>
          <w:szCs w:val="32"/>
        </w:rPr>
        <w:t>20</w:t>
      </w:r>
      <w:r>
        <w:rPr>
          <w:rFonts w:hint="eastAsia" w:ascii="黑体" w:hAnsi="Times New Roman" w:eastAsia="黑体" w:cs="黑体"/>
          <w:b/>
          <w:bCs/>
          <w:color w:val="auto"/>
          <w:sz w:val="40"/>
          <w:szCs w:val="32"/>
        </w:rPr>
        <w:t>2</w:t>
      </w:r>
      <w:r>
        <w:rPr>
          <w:rFonts w:hint="eastAsia" w:ascii="黑体" w:hAnsi="Times New Roman" w:eastAsia="黑体" w:cs="黑体"/>
          <w:b/>
          <w:bCs/>
          <w:color w:val="auto"/>
          <w:sz w:val="40"/>
          <w:szCs w:val="32"/>
          <w:lang w:val="en-US" w:eastAsia="zh-CN"/>
        </w:rPr>
        <w:t>3</w:t>
      </w:r>
      <w:r>
        <w:rPr>
          <w:rFonts w:hint="eastAsia" w:ascii="黑体" w:hAnsi="Times New Roman" w:eastAsia="黑体" w:cs="黑体"/>
          <w:b/>
          <w:bCs/>
          <w:color w:val="auto"/>
          <w:sz w:val="40"/>
          <w:szCs w:val="32"/>
        </w:rPr>
        <w:t>年度部门预算情况说明</w:t>
      </w:r>
    </w:p>
    <w:p>
      <w:pPr>
        <w:adjustRightInd w:val="0"/>
        <w:snapToGrid w:val="0"/>
        <w:spacing w:line="360" w:lineRule="auto"/>
        <w:ind w:firstLine="640" w:firstLineChars="200"/>
        <w:rPr>
          <w:rFonts w:ascii="黑体" w:hAnsi="黑体" w:eastAsia="黑体"/>
          <w:color w:val="auto"/>
          <w:sz w:val="32"/>
          <w:szCs w:val="32"/>
        </w:rPr>
      </w:pPr>
    </w:p>
    <w:p>
      <w:pPr>
        <w:adjustRightInd w:val="0"/>
        <w:snapToGrid w:val="0"/>
        <w:spacing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一、部门收支总体情况说明</w:t>
      </w:r>
      <w:r>
        <w:rPr>
          <w:rFonts w:ascii="黑体" w:hAnsi="黑体" w:eastAsia="黑体"/>
          <w:color w:val="auto"/>
          <w:sz w:val="32"/>
          <w:szCs w:val="32"/>
        </w:rPr>
        <w:t xml:space="preserve">                    </w:t>
      </w:r>
    </w:p>
    <w:p>
      <w:pPr>
        <w:adjustRightInd w:val="0"/>
        <w:snapToGrid w:val="0"/>
        <w:spacing w:line="360" w:lineRule="auto"/>
        <w:ind w:firstLine="640" w:firstLineChars="200"/>
        <w:rPr>
          <w:rFonts w:ascii="仿宋_GB2312" w:hAnsi="宋体" w:eastAsia="仿宋_GB2312" w:cs="Courier New"/>
          <w:color w:val="auto"/>
          <w:sz w:val="32"/>
          <w:szCs w:val="32"/>
        </w:rPr>
      </w:pP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3</w:t>
      </w:r>
      <w:r>
        <w:rPr>
          <w:rFonts w:hint="eastAsia" w:ascii="仿宋_GB2312" w:hAnsi="宋体" w:eastAsia="仿宋_GB2312" w:cs="Courier New"/>
          <w:color w:val="auto"/>
          <w:sz w:val="32"/>
          <w:szCs w:val="32"/>
        </w:rPr>
        <w:t>年收入总计</w:t>
      </w:r>
      <w:r>
        <w:rPr>
          <w:rFonts w:hint="eastAsia" w:ascii="仿宋_GB2312" w:eastAsia="仿宋_GB2312"/>
          <w:b/>
          <w:color w:val="auto"/>
          <w:sz w:val="32"/>
          <w:szCs w:val="32"/>
          <w:lang w:val="en-US" w:eastAsia="zh-CN"/>
        </w:rPr>
        <w:t>4115.21</w:t>
      </w:r>
      <w:r>
        <w:rPr>
          <w:rFonts w:hint="eastAsia" w:ascii="仿宋_GB2312" w:hAnsi="宋体" w:eastAsia="仿宋_GB2312" w:cs="Courier New"/>
          <w:color w:val="auto"/>
          <w:sz w:val="32"/>
          <w:szCs w:val="32"/>
        </w:rPr>
        <w:t>万元，支出总计</w:t>
      </w:r>
      <w:r>
        <w:rPr>
          <w:rFonts w:hint="eastAsia" w:ascii="仿宋_GB2312" w:eastAsia="仿宋_GB2312"/>
          <w:b/>
          <w:color w:val="auto"/>
          <w:sz w:val="32"/>
          <w:szCs w:val="32"/>
          <w:lang w:val="en-US" w:eastAsia="zh-CN"/>
        </w:rPr>
        <w:t>4115.21</w:t>
      </w:r>
      <w:r>
        <w:rPr>
          <w:rFonts w:hint="eastAsia" w:ascii="仿宋_GB2312" w:hAnsi="宋体" w:eastAsia="仿宋_GB2312" w:cs="Courier New"/>
          <w:color w:val="auto"/>
          <w:sz w:val="32"/>
          <w:szCs w:val="32"/>
        </w:rPr>
        <w:t>万元，与</w:t>
      </w: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年相比，收支总计各增加</w:t>
      </w:r>
      <w:r>
        <w:rPr>
          <w:rFonts w:hint="eastAsia" w:ascii="仿宋_GB2312" w:hAnsi="宋体" w:eastAsia="仿宋_GB2312" w:cs="Courier New"/>
          <w:color w:val="auto"/>
          <w:sz w:val="32"/>
          <w:szCs w:val="32"/>
          <w:lang w:val="en-US" w:eastAsia="zh-CN"/>
        </w:rPr>
        <w:t>328.01</w:t>
      </w:r>
      <w:r>
        <w:rPr>
          <w:rFonts w:hint="eastAsia" w:ascii="仿宋_GB2312" w:hAnsi="宋体" w:eastAsia="仿宋_GB2312" w:cs="Courier New"/>
          <w:color w:val="auto"/>
          <w:sz w:val="32"/>
          <w:szCs w:val="32"/>
        </w:rPr>
        <w:t>万元，增长</w:t>
      </w:r>
      <w:r>
        <w:rPr>
          <w:rFonts w:hint="eastAsia" w:ascii="仿宋_GB2312" w:hAnsi="宋体" w:eastAsia="仿宋_GB2312" w:cs="Courier New"/>
          <w:color w:val="auto"/>
          <w:sz w:val="32"/>
          <w:szCs w:val="32"/>
          <w:lang w:val="en-US" w:eastAsia="zh-CN"/>
        </w:rPr>
        <w:t>8.66</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。主要原因：</w:t>
      </w:r>
      <w:r>
        <w:rPr>
          <w:rFonts w:hint="eastAsia" w:ascii="仿宋_GB2312" w:eastAsia="仿宋_GB2312"/>
          <w:b/>
          <w:color w:val="auto"/>
          <w:sz w:val="32"/>
          <w:szCs w:val="32"/>
        </w:rPr>
        <w:t>因政策性的调整，财政的体制改革，新增工作中发展与治理的需要，所以加大了一般公共预算的收入费用。</w:t>
      </w:r>
      <w:r>
        <w:rPr>
          <w:rFonts w:hint="eastAsia" w:ascii="仿宋_GB2312" w:hAnsi="宋体" w:eastAsia="仿宋_GB2312" w:cs="Courier New"/>
          <w:color w:val="auto"/>
          <w:sz w:val="32"/>
          <w:szCs w:val="32"/>
        </w:rPr>
        <w:t>。</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二、部门收入总体情况说明</w:t>
      </w:r>
      <w:r>
        <w:rPr>
          <w:rFonts w:ascii="黑体" w:hAnsi="黑体" w:eastAsia="黑体"/>
          <w:color w:val="auto"/>
          <w:sz w:val="32"/>
          <w:szCs w:val="32"/>
        </w:rPr>
        <w:t xml:space="preserve">                  </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hAnsi="Times New Roman" w:eastAsia="仿宋_GB2312"/>
          <w:color w:val="auto"/>
          <w:sz w:val="32"/>
          <w:szCs w:val="32"/>
        </w:rPr>
        <w:t>年收入合计</w:t>
      </w:r>
      <w:r>
        <w:rPr>
          <w:rFonts w:hint="eastAsia" w:ascii="仿宋_GB2312" w:eastAsia="仿宋_GB2312"/>
          <w:b/>
          <w:color w:val="auto"/>
          <w:sz w:val="32"/>
          <w:szCs w:val="32"/>
          <w:lang w:val="en-US" w:eastAsia="zh-CN"/>
        </w:rPr>
        <w:t>4115.21</w:t>
      </w:r>
      <w:r>
        <w:rPr>
          <w:rFonts w:hint="eastAsia" w:ascii="仿宋_GB2312" w:hAnsi="Times New Roman" w:eastAsia="仿宋_GB2312"/>
          <w:color w:val="auto"/>
          <w:sz w:val="32"/>
          <w:szCs w:val="32"/>
        </w:rPr>
        <w:t>万元，</w:t>
      </w:r>
      <w:r>
        <w:rPr>
          <w:rFonts w:hint="eastAsia" w:ascii="仿宋_GB2312" w:eastAsia="仿宋_GB2312"/>
          <w:color w:val="auto"/>
          <w:sz w:val="32"/>
          <w:szCs w:val="32"/>
        </w:rPr>
        <w:t>其中：一般公共预算</w:t>
      </w:r>
      <w:r>
        <w:rPr>
          <w:rFonts w:hint="eastAsia" w:ascii="仿宋_GB2312" w:eastAsia="仿宋_GB2312"/>
          <w:b/>
          <w:color w:val="auto"/>
          <w:sz w:val="32"/>
          <w:szCs w:val="32"/>
          <w:lang w:val="en-US" w:eastAsia="zh-CN"/>
        </w:rPr>
        <w:t>4115.21</w:t>
      </w:r>
      <w:r>
        <w:rPr>
          <w:rFonts w:hint="eastAsia" w:ascii="仿宋_GB2312" w:eastAsia="仿宋_GB2312"/>
          <w:color w:val="auto"/>
          <w:sz w:val="32"/>
          <w:szCs w:val="32"/>
        </w:rPr>
        <w:t>万元</w:t>
      </w:r>
      <w:r>
        <w:rPr>
          <w:rFonts w:ascii="仿宋_GB2312" w:eastAsia="仿宋_GB2312"/>
          <w:color w:val="auto"/>
          <w:sz w:val="32"/>
          <w:szCs w:val="32"/>
        </w:rPr>
        <w:t>;</w:t>
      </w: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政府性基金收入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万元；专户管理的教育收费</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万元；国有资本经营预算收入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万元；事业收入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万元；经营收入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万元；其他收入</w:t>
      </w:r>
      <w:r>
        <w:rPr>
          <w:rFonts w:hint="eastAsia" w:ascii="仿宋_GB2312" w:eastAsia="仿宋_GB2312"/>
          <w:b/>
          <w:color w:val="auto"/>
          <w:sz w:val="32"/>
          <w:szCs w:val="32"/>
          <w:lang w:val="en-US" w:eastAsia="zh-CN"/>
        </w:rPr>
        <w:t>0</w:t>
      </w:r>
      <w:r>
        <w:rPr>
          <w:rFonts w:hint="eastAsia" w:ascii="仿宋_GB2312" w:hAnsi="Times New Roman" w:eastAsia="仿宋_GB2312"/>
          <w:color w:val="auto"/>
          <w:sz w:val="32"/>
          <w:szCs w:val="32"/>
        </w:rPr>
        <w:t>万元。</w:t>
      </w:r>
    </w:p>
    <w:p>
      <w:pPr>
        <w:spacing w:line="560" w:lineRule="exact"/>
        <w:ind w:firstLine="640" w:firstLineChars="200"/>
        <w:rPr>
          <w:rFonts w:ascii="仿宋_GB2312" w:eastAsia="仿宋_GB2312"/>
          <w:color w:val="auto"/>
          <w:sz w:val="32"/>
          <w:szCs w:val="32"/>
        </w:rPr>
      </w:pPr>
      <w:r>
        <w:rPr>
          <w:rFonts w:hint="eastAsia" w:ascii="黑体" w:hAnsi="黑体" w:eastAsia="黑体"/>
          <w:color w:val="auto"/>
          <w:sz w:val="32"/>
          <w:szCs w:val="32"/>
        </w:rPr>
        <w:t>三、部门支出总体情况说明</w:t>
      </w:r>
      <w:r>
        <w:rPr>
          <w:rFonts w:ascii="黑体" w:hAnsi="黑体" w:eastAsia="黑体"/>
          <w:color w:val="auto"/>
          <w:sz w:val="32"/>
          <w:szCs w:val="32"/>
        </w:rPr>
        <w:t xml:space="preserve">                        </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年支出合计</w:t>
      </w:r>
      <w:r>
        <w:rPr>
          <w:rFonts w:hint="eastAsia" w:ascii="仿宋_GB2312" w:eastAsia="仿宋_GB2312"/>
          <w:b/>
          <w:color w:val="auto"/>
          <w:sz w:val="32"/>
          <w:szCs w:val="32"/>
          <w:lang w:val="en-US" w:eastAsia="zh-CN"/>
        </w:rPr>
        <w:t>4115.21</w:t>
      </w:r>
      <w:r>
        <w:rPr>
          <w:rFonts w:hint="eastAsia" w:ascii="仿宋_GB2312" w:hAnsi="宋体" w:eastAsia="仿宋_GB2312" w:cs="Courier New"/>
          <w:color w:val="auto"/>
          <w:sz w:val="32"/>
          <w:szCs w:val="32"/>
        </w:rPr>
        <w:t>万元，其中：基本支出</w:t>
      </w:r>
      <w:r>
        <w:rPr>
          <w:rFonts w:hint="eastAsia" w:ascii="仿宋_GB2312" w:eastAsia="仿宋_GB2312"/>
          <w:b/>
          <w:color w:val="auto"/>
          <w:sz w:val="32"/>
          <w:szCs w:val="32"/>
          <w:lang w:val="en-US" w:eastAsia="zh-CN"/>
        </w:rPr>
        <w:t>2292.9</w:t>
      </w:r>
      <w:r>
        <w:rPr>
          <w:rFonts w:hint="eastAsia" w:ascii="仿宋_GB2312" w:hAnsi="宋体" w:eastAsia="仿宋_GB2312" w:cs="Courier New"/>
          <w:color w:val="auto"/>
          <w:sz w:val="32"/>
          <w:szCs w:val="32"/>
        </w:rPr>
        <w:t>万元，占</w:t>
      </w:r>
      <w:r>
        <w:rPr>
          <w:rFonts w:hint="eastAsia" w:ascii="仿宋_GB2312" w:eastAsia="仿宋_GB2312"/>
          <w:b/>
          <w:color w:val="auto"/>
          <w:sz w:val="32"/>
          <w:szCs w:val="32"/>
          <w:lang w:val="en-US" w:eastAsia="zh-CN"/>
        </w:rPr>
        <w:t>55.72</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；项目支出</w:t>
      </w:r>
      <w:r>
        <w:rPr>
          <w:rFonts w:hint="eastAsia" w:ascii="仿宋_GB2312" w:eastAsia="仿宋_GB2312"/>
          <w:b/>
          <w:color w:val="auto"/>
          <w:sz w:val="32"/>
          <w:szCs w:val="32"/>
          <w:lang w:val="en-US" w:eastAsia="zh-CN"/>
        </w:rPr>
        <w:t>1822.31</w:t>
      </w:r>
      <w:r>
        <w:rPr>
          <w:rFonts w:hint="eastAsia" w:ascii="仿宋_GB2312" w:hAnsi="宋体" w:eastAsia="仿宋_GB2312" w:cs="Courier New"/>
          <w:color w:val="auto"/>
          <w:sz w:val="32"/>
          <w:szCs w:val="32"/>
        </w:rPr>
        <w:t>万元，占</w:t>
      </w:r>
      <w:r>
        <w:rPr>
          <w:rFonts w:hint="eastAsia" w:ascii="仿宋_GB2312" w:eastAsia="仿宋_GB2312"/>
          <w:b/>
          <w:color w:val="auto"/>
          <w:sz w:val="32"/>
          <w:szCs w:val="32"/>
          <w:lang w:val="en-US" w:eastAsia="zh-CN"/>
        </w:rPr>
        <w:t>44.28</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w:t>
      </w:r>
    </w:p>
    <w:p>
      <w:pPr>
        <w:spacing w:line="560" w:lineRule="exact"/>
        <w:ind w:firstLine="640" w:firstLineChars="200"/>
        <w:rPr>
          <w:rFonts w:ascii="仿宋_GB2312" w:eastAsia="仿宋_GB2312"/>
          <w:color w:val="auto"/>
          <w:sz w:val="32"/>
          <w:szCs w:val="32"/>
        </w:rPr>
      </w:pPr>
      <w:r>
        <w:rPr>
          <w:rFonts w:hint="eastAsia" w:ascii="黑体" w:hAnsi="黑体" w:eastAsia="黑体"/>
          <w:color w:val="auto"/>
          <w:sz w:val="32"/>
          <w:szCs w:val="32"/>
        </w:rPr>
        <w:t>四、财政拨款收支总体情况说明</w:t>
      </w:r>
      <w:r>
        <w:rPr>
          <w:rFonts w:ascii="黑体" w:hAnsi="黑体" w:eastAsia="黑体"/>
          <w:color w:val="auto"/>
          <w:sz w:val="32"/>
          <w:szCs w:val="32"/>
        </w:rPr>
        <w:t xml:space="preserve">         </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年一般公共预算收支预算</w:t>
      </w:r>
      <w:r>
        <w:rPr>
          <w:rFonts w:hint="eastAsia" w:ascii="仿宋_GB2312" w:eastAsia="仿宋_GB2312"/>
          <w:b/>
          <w:color w:val="auto"/>
          <w:sz w:val="32"/>
          <w:szCs w:val="32"/>
          <w:lang w:val="en-US" w:eastAsia="zh-CN"/>
        </w:rPr>
        <w:t>4115.21</w:t>
      </w:r>
      <w:r>
        <w:rPr>
          <w:rFonts w:hint="eastAsia" w:ascii="仿宋_GB2312" w:hAnsi="宋体" w:eastAsia="仿宋_GB2312" w:cs="Courier New"/>
          <w:color w:val="auto"/>
          <w:sz w:val="32"/>
          <w:szCs w:val="32"/>
        </w:rPr>
        <w:t>万元，政府性基金收支预算</w:t>
      </w:r>
      <w:r>
        <w:rPr>
          <w:rFonts w:hint="eastAsia" w:ascii="仿宋_GB2312" w:eastAsia="仿宋_GB2312"/>
          <w:b/>
          <w:color w:val="auto"/>
          <w:sz w:val="32"/>
          <w:szCs w:val="32"/>
          <w:lang w:val="en-US" w:eastAsia="zh-CN"/>
        </w:rPr>
        <w:t>0</w:t>
      </w:r>
      <w:r>
        <w:rPr>
          <w:rFonts w:hint="eastAsia" w:ascii="仿宋_GB2312" w:hAnsi="宋体" w:eastAsia="仿宋_GB2312" w:cs="Courier New"/>
          <w:color w:val="auto"/>
          <w:sz w:val="32"/>
          <w:szCs w:val="32"/>
        </w:rPr>
        <w:t>万元。与</w:t>
      </w:r>
      <w:r>
        <w:rPr>
          <w:rFonts w:ascii="仿宋_GB2312" w:hAnsi="宋体" w:eastAsia="仿宋_GB2312" w:cs="Courier New"/>
          <w:color w:val="auto"/>
          <w:sz w:val="32"/>
          <w:szCs w:val="32"/>
        </w:rPr>
        <w:t xml:space="preserve"> 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年相比，一般公共预算收支预算增加</w:t>
      </w:r>
      <w:r>
        <w:rPr>
          <w:rFonts w:hint="eastAsia" w:ascii="仿宋_GB2312" w:hAnsi="宋体" w:eastAsia="仿宋_GB2312" w:cs="Courier New"/>
          <w:color w:val="auto"/>
          <w:sz w:val="32"/>
          <w:szCs w:val="32"/>
          <w:lang w:val="en-US" w:eastAsia="zh-CN"/>
        </w:rPr>
        <w:t>328.01</w:t>
      </w:r>
      <w:r>
        <w:rPr>
          <w:rFonts w:hint="eastAsia" w:ascii="仿宋_GB2312" w:hAnsi="宋体" w:eastAsia="仿宋_GB2312" w:cs="Courier New"/>
          <w:color w:val="auto"/>
          <w:sz w:val="32"/>
          <w:szCs w:val="32"/>
        </w:rPr>
        <w:t>万元，增长</w:t>
      </w:r>
      <w:r>
        <w:rPr>
          <w:rFonts w:hint="eastAsia" w:ascii="仿宋_GB2312" w:hAnsi="宋体" w:eastAsia="仿宋_GB2312" w:cs="Courier New"/>
          <w:color w:val="auto"/>
          <w:sz w:val="32"/>
          <w:szCs w:val="32"/>
          <w:lang w:val="en-US" w:eastAsia="zh-CN"/>
        </w:rPr>
        <w:t>8.66</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，主要原因：</w:t>
      </w:r>
      <w:r>
        <w:rPr>
          <w:rFonts w:hint="eastAsia" w:ascii="仿宋_GB2312" w:eastAsia="仿宋_GB2312"/>
          <w:b/>
          <w:color w:val="auto"/>
          <w:sz w:val="32"/>
          <w:szCs w:val="32"/>
        </w:rPr>
        <w:t>因政策性的调整，财政体制的改革，新增工作发展与治理的需要，加大了一般公共预算费用的增加。</w:t>
      </w:r>
      <w:r>
        <w:rPr>
          <w:rFonts w:hint="eastAsia" w:ascii="仿宋_GB2312" w:hAnsi="宋体" w:eastAsia="仿宋_GB2312" w:cs="Courier New"/>
          <w:color w:val="auto"/>
          <w:sz w:val="32"/>
          <w:szCs w:val="32"/>
        </w:rPr>
        <w:t>政府性基金收支预算</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w:t>
      </w:r>
      <w:r>
        <w:rPr>
          <w:rFonts w:hint="eastAsia" w:ascii="仿宋_GB2312" w:hAnsi="宋体" w:eastAsia="仿宋_GB2312" w:cs="Courier New"/>
          <w:color w:val="auto"/>
          <w:sz w:val="32"/>
          <w:szCs w:val="32"/>
          <w:lang w:eastAsia="zh-CN"/>
        </w:rPr>
        <w:t>。</w:t>
      </w:r>
    </w:p>
    <w:p>
      <w:pPr>
        <w:spacing w:line="560" w:lineRule="exact"/>
        <w:ind w:firstLine="640" w:firstLineChars="200"/>
        <w:rPr>
          <w:rFonts w:ascii="仿宋_GB2312" w:eastAsia="仿宋_GB2312"/>
          <w:color w:val="auto"/>
          <w:sz w:val="32"/>
          <w:szCs w:val="32"/>
        </w:rPr>
      </w:pPr>
      <w:r>
        <w:rPr>
          <w:rFonts w:hint="eastAsia" w:ascii="黑体" w:hAnsi="黑体" w:eastAsia="黑体"/>
          <w:color w:val="auto"/>
          <w:sz w:val="32"/>
          <w:szCs w:val="32"/>
        </w:rPr>
        <w:t>五、一般公共预算支出情况说明</w:t>
      </w:r>
      <w:r>
        <w:rPr>
          <w:rFonts w:ascii="黑体" w:hAnsi="黑体" w:eastAsia="黑体"/>
          <w:color w:val="auto"/>
          <w:sz w:val="32"/>
          <w:szCs w:val="32"/>
        </w:rPr>
        <w:t xml:space="preserve">                </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年</w:t>
      </w:r>
      <w:r>
        <w:rPr>
          <w:rFonts w:hint="eastAsia" w:ascii="仿宋_GB2312" w:hAnsi="宋体" w:eastAsia="仿宋_GB2312" w:cs="Courier New"/>
          <w:color w:val="auto"/>
          <w:sz w:val="32"/>
          <w:szCs w:val="32"/>
          <w:lang w:eastAsia="zh-CN"/>
        </w:rPr>
        <w:t>一般公共预算支出年初预算为</w:t>
      </w:r>
      <w:r>
        <w:rPr>
          <w:rFonts w:hint="eastAsia" w:ascii="仿宋_GB2312" w:eastAsia="仿宋_GB2312"/>
          <w:b/>
          <w:color w:val="auto"/>
          <w:sz w:val="32"/>
          <w:szCs w:val="32"/>
          <w:lang w:val="en-US" w:eastAsia="zh-CN"/>
        </w:rPr>
        <w:t>4115.21</w:t>
      </w:r>
      <w:r>
        <w:rPr>
          <w:rFonts w:hint="eastAsia" w:ascii="仿宋_GB2312" w:hAnsi="宋体" w:eastAsia="仿宋_GB2312" w:cs="Courier New"/>
          <w:color w:val="auto"/>
          <w:sz w:val="32"/>
          <w:szCs w:val="32"/>
        </w:rPr>
        <w:t>万元，其中：基本支出</w:t>
      </w:r>
      <w:r>
        <w:rPr>
          <w:rFonts w:hint="eastAsia" w:ascii="仿宋_GB2312" w:eastAsia="仿宋_GB2312"/>
          <w:b/>
          <w:color w:val="auto"/>
          <w:sz w:val="32"/>
          <w:szCs w:val="32"/>
          <w:lang w:val="en-US" w:eastAsia="zh-CN"/>
        </w:rPr>
        <w:t>2292.9</w:t>
      </w:r>
      <w:r>
        <w:rPr>
          <w:rFonts w:hint="eastAsia" w:ascii="仿宋_GB2312" w:hAnsi="宋体" w:eastAsia="仿宋_GB2312" w:cs="Courier New"/>
          <w:color w:val="auto"/>
          <w:sz w:val="32"/>
          <w:szCs w:val="32"/>
        </w:rPr>
        <w:t>万元，占</w:t>
      </w:r>
      <w:r>
        <w:rPr>
          <w:rFonts w:hint="eastAsia" w:ascii="仿宋_GB2312" w:eastAsia="仿宋_GB2312"/>
          <w:b/>
          <w:color w:val="auto"/>
          <w:sz w:val="32"/>
          <w:szCs w:val="32"/>
          <w:lang w:val="en-US" w:eastAsia="zh-CN"/>
        </w:rPr>
        <w:t>55.72</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；项目支出</w:t>
      </w:r>
      <w:r>
        <w:rPr>
          <w:rFonts w:hint="eastAsia" w:ascii="仿宋_GB2312" w:eastAsia="仿宋_GB2312"/>
          <w:b/>
          <w:color w:val="auto"/>
          <w:sz w:val="32"/>
          <w:szCs w:val="32"/>
          <w:lang w:val="en-US" w:eastAsia="zh-CN"/>
        </w:rPr>
        <w:t>1822.31</w:t>
      </w:r>
      <w:r>
        <w:rPr>
          <w:rFonts w:hint="eastAsia" w:ascii="仿宋_GB2312" w:hAnsi="宋体" w:eastAsia="仿宋_GB2312" w:cs="Courier New"/>
          <w:color w:val="auto"/>
          <w:sz w:val="32"/>
          <w:szCs w:val="32"/>
        </w:rPr>
        <w:t>万元，占</w:t>
      </w:r>
      <w:r>
        <w:rPr>
          <w:rFonts w:hint="eastAsia" w:ascii="仿宋_GB2312" w:eastAsia="仿宋_GB2312"/>
          <w:b/>
          <w:color w:val="auto"/>
          <w:sz w:val="32"/>
          <w:szCs w:val="32"/>
          <w:lang w:val="en-US" w:eastAsia="zh-CN"/>
        </w:rPr>
        <w:t>44.28</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w:t>
      </w:r>
    </w:p>
    <w:p>
      <w:pPr>
        <w:spacing w:line="560" w:lineRule="exact"/>
        <w:ind w:firstLine="640" w:firstLineChars="200"/>
        <w:rPr>
          <w:rFonts w:ascii="仿宋_GB2312" w:eastAsia="仿宋_GB2312"/>
          <w:color w:val="auto"/>
          <w:sz w:val="32"/>
          <w:szCs w:val="32"/>
        </w:rPr>
      </w:pPr>
      <w:r>
        <w:rPr>
          <w:rFonts w:hint="eastAsia" w:ascii="黑体" w:hAnsi="Times New Roman" w:eastAsia="黑体" w:cs="黑体"/>
          <w:color w:val="auto"/>
          <w:kern w:val="0"/>
          <w:sz w:val="32"/>
          <w:szCs w:val="32"/>
        </w:rPr>
        <w:t>六、</w:t>
      </w:r>
      <w:r>
        <w:rPr>
          <w:rFonts w:hint="eastAsia" w:ascii="黑体" w:hAnsi="黑体" w:eastAsia="黑体"/>
          <w:color w:val="auto"/>
          <w:sz w:val="32"/>
          <w:szCs w:val="32"/>
        </w:rPr>
        <w:t>一般公共预算支出情况说明</w:t>
      </w:r>
      <w:r>
        <w:rPr>
          <w:rFonts w:ascii="黑体" w:hAnsi="黑体" w:eastAsia="黑体"/>
          <w:color w:val="auto"/>
          <w:sz w:val="32"/>
          <w:szCs w:val="32"/>
        </w:rPr>
        <w:t xml:space="preserve">                   </w:t>
      </w:r>
    </w:p>
    <w:p>
      <w:pPr>
        <w:spacing w:line="560" w:lineRule="exact"/>
        <w:ind w:firstLine="640" w:firstLineChars="200"/>
        <w:rPr>
          <w:rFonts w:ascii="仿宋_GB2312" w:hAnsi="宋体" w:eastAsia="仿宋_GB2312" w:cs="Courier New"/>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年</w:t>
      </w:r>
      <w:r>
        <w:rPr>
          <w:rFonts w:hint="eastAsia" w:ascii="仿宋_GB2312" w:hAnsi="宋体" w:eastAsia="仿宋_GB2312" w:cs="Courier New"/>
          <w:color w:val="auto"/>
          <w:sz w:val="32"/>
          <w:szCs w:val="32"/>
          <w:lang w:eastAsia="zh-CN"/>
        </w:rPr>
        <w:t>一般公共预算基本支出年初预算为</w:t>
      </w:r>
      <w:r>
        <w:rPr>
          <w:rFonts w:hint="eastAsia" w:ascii="仿宋_GB2312" w:eastAsia="仿宋_GB2312"/>
          <w:b/>
          <w:color w:val="auto"/>
          <w:sz w:val="32"/>
          <w:szCs w:val="32"/>
          <w:lang w:val="en-US" w:eastAsia="zh-CN"/>
        </w:rPr>
        <w:t>2292.9</w:t>
      </w:r>
      <w:r>
        <w:rPr>
          <w:rFonts w:hint="eastAsia" w:ascii="仿宋_GB2312" w:hAnsi="宋体" w:eastAsia="仿宋_GB2312" w:cs="Courier New"/>
          <w:color w:val="auto"/>
          <w:sz w:val="32"/>
          <w:szCs w:val="32"/>
        </w:rPr>
        <w:t>万元，其中：</w:t>
      </w:r>
      <w:r>
        <w:rPr>
          <w:rFonts w:hint="eastAsia" w:ascii="仿宋_GB2312" w:hAnsi="宋体" w:eastAsia="仿宋_GB2312" w:cs="Courier New"/>
          <w:color w:val="auto"/>
          <w:sz w:val="32"/>
          <w:szCs w:val="32"/>
          <w:lang w:eastAsia="zh-CN"/>
        </w:rPr>
        <w:t>人员经费</w:t>
      </w:r>
      <w:r>
        <w:rPr>
          <w:rFonts w:hint="eastAsia" w:ascii="仿宋_GB2312" w:eastAsia="仿宋_GB2312"/>
          <w:b/>
          <w:color w:val="auto"/>
          <w:sz w:val="32"/>
          <w:szCs w:val="32"/>
          <w:lang w:val="en-US" w:eastAsia="zh-CN"/>
        </w:rPr>
        <w:t>1460.69</w:t>
      </w:r>
      <w:r>
        <w:rPr>
          <w:rFonts w:hint="eastAsia" w:ascii="仿宋_GB2312" w:hAnsi="宋体" w:eastAsia="仿宋_GB2312" w:cs="Courier New"/>
          <w:color w:val="auto"/>
          <w:sz w:val="32"/>
          <w:szCs w:val="32"/>
        </w:rPr>
        <w:t>万元，占</w:t>
      </w:r>
      <w:r>
        <w:rPr>
          <w:rFonts w:hint="eastAsia" w:ascii="仿宋_GB2312" w:eastAsia="仿宋_GB2312"/>
          <w:b/>
          <w:color w:val="auto"/>
          <w:sz w:val="32"/>
          <w:szCs w:val="32"/>
          <w:lang w:val="en-US" w:eastAsia="zh-CN"/>
        </w:rPr>
        <w:t>63.7</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w:t>
      </w:r>
      <w:r>
        <w:rPr>
          <w:rFonts w:hint="eastAsia" w:ascii="仿宋_GB2312" w:hAnsi="宋体" w:eastAsia="仿宋_GB2312" w:cs="Courier New"/>
          <w:color w:val="auto"/>
          <w:sz w:val="32"/>
          <w:szCs w:val="32"/>
          <w:lang w:eastAsia="zh-CN"/>
        </w:rPr>
        <w:t>公用经费</w:t>
      </w:r>
      <w:r>
        <w:rPr>
          <w:rFonts w:hint="eastAsia" w:ascii="仿宋_GB2312" w:eastAsia="仿宋_GB2312"/>
          <w:b/>
          <w:color w:val="auto"/>
          <w:sz w:val="32"/>
          <w:szCs w:val="32"/>
          <w:lang w:val="en-US" w:eastAsia="zh-CN"/>
        </w:rPr>
        <w:t>832.21</w:t>
      </w:r>
      <w:r>
        <w:rPr>
          <w:rFonts w:hint="eastAsia" w:ascii="仿宋_GB2312" w:hAnsi="宋体" w:eastAsia="仿宋_GB2312" w:cs="Courier New"/>
          <w:color w:val="auto"/>
          <w:sz w:val="32"/>
          <w:szCs w:val="32"/>
        </w:rPr>
        <w:t>万元，占</w:t>
      </w:r>
      <w:r>
        <w:rPr>
          <w:rFonts w:hint="eastAsia" w:ascii="仿宋_GB2312" w:eastAsia="仿宋_GB2312"/>
          <w:b/>
          <w:color w:val="auto"/>
          <w:sz w:val="32"/>
          <w:szCs w:val="32"/>
          <w:lang w:val="en-US" w:eastAsia="zh-CN"/>
        </w:rPr>
        <w:t>36.3</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w:t>
      </w:r>
    </w:p>
    <w:p>
      <w:pPr>
        <w:spacing w:line="560" w:lineRule="exact"/>
        <w:ind w:firstLine="640" w:firstLineChars="200"/>
        <w:rPr>
          <w:rFonts w:hint="eastAsia" w:ascii="黑体" w:hAnsi="Times New Roman" w:eastAsia="黑体" w:cs="黑体"/>
          <w:color w:val="auto"/>
          <w:kern w:val="0"/>
          <w:sz w:val="32"/>
          <w:szCs w:val="32"/>
        </w:rPr>
      </w:pPr>
      <w:r>
        <w:rPr>
          <w:rFonts w:hint="eastAsia" w:ascii="黑体" w:hAnsi="Times New Roman" w:eastAsia="黑体" w:cs="黑体"/>
          <w:color w:val="auto"/>
          <w:kern w:val="0"/>
          <w:sz w:val="32"/>
          <w:szCs w:val="32"/>
        </w:rPr>
        <w:t>七、</w:t>
      </w:r>
      <w:r>
        <w:rPr>
          <w:rFonts w:ascii="黑体" w:hAnsi="Times New Roman" w:eastAsia="黑体" w:cs="黑体"/>
          <w:color w:val="auto"/>
          <w:kern w:val="0"/>
          <w:sz w:val="32"/>
          <w:szCs w:val="32"/>
        </w:rPr>
        <w:t xml:space="preserve"> </w:t>
      </w:r>
      <w:r>
        <w:rPr>
          <w:rFonts w:hint="eastAsia" w:ascii="黑体" w:hAnsi="Times New Roman" w:eastAsia="黑体" w:cs="黑体"/>
          <w:color w:val="auto"/>
          <w:kern w:val="0"/>
          <w:sz w:val="32"/>
          <w:szCs w:val="32"/>
        </w:rPr>
        <w:t>一般公共预算“三公”经费支出情况说明</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我部门</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年“三公”经费预算为</w:t>
      </w:r>
      <w:r>
        <w:rPr>
          <w:rFonts w:hint="eastAsia" w:ascii="仿宋_GB2312" w:eastAsia="仿宋_GB2312"/>
          <w:b/>
          <w:color w:val="auto"/>
          <w:sz w:val="32"/>
          <w:szCs w:val="32"/>
          <w:lang w:val="en-US" w:eastAsia="zh-CN"/>
        </w:rPr>
        <w:t>12.5</w:t>
      </w:r>
      <w:r>
        <w:rPr>
          <w:rFonts w:hint="eastAsia" w:ascii="仿宋_GB2312" w:hAnsi="宋体" w:eastAsia="仿宋_GB2312" w:cs="Courier New"/>
          <w:color w:val="auto"/>
          <w:sz w:val="32"/>
          <w:szCs w:val="32"/>
        </w:rPr>
        <w:t>万元。</w:t>
      </w: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3</w:t>
      </w:r>
      <w:r>
        <w:rPr>
          <w:rFonts w:hint="eastAsia" w:ascii="仿宋_GB2312" w:hAnsi="宋体" w:eastAsia="仿宋_GB2312" w:cs="Courier New"/>
          <w:color w:val="auto"/>
          <w:sz w:val="32"/>
          <w:szCs w:val="32"/>
        </w:rPr>
        <w:t>年“三公”经费支出预算数比</w:t>
      </w:r>
      <w:r>
        <w:rPr>
          <w:rFonts w:ascii="仿宋_GB2312" w:hAnsi="宋体" w:eastAsia="仿宋_GB2312" w:cs="Courier New"/>
          <w:color w:val="auto"/>
          <w:sz w:val="32"/>
          <w:szCs w:val="32"/>
        </w:rPr>
        <w:t xml:space="preserve"> 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年增加</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rPr>
        <w:t>具体支出情况如下：</w:t>
      </w:r>
    </w:p>
    <w:p>
      <w:pPr>
        <w:kinsoku w:val="0"/>
        <w:overflowPunct w:val="0"/>
        <w:autoSpaceDE w:val="0"/>
        <w:autoSpaceDN w:val="0"/>
        <w:adjustRightInd w:val="0"/>
        <w:snapToGrid w:val="0"/>
        <w:spacing w:line="560" w:lineRule="exact"/>
        <w:ind w:firstLine="639" w:firstLineChars="200"/>
        <w:rPr>
          <w:rFonts w:hint="eastAsia" w:ascii="仿宋_GB2312" w:hAnsi="宋体" w:eastAsia="仿宋_GB2312" w:cs="Courier New"/>
          <w:color w:val="auto"/>
          <w:sz w:val="32"/>
          <w:szCs w:val="32"/>
          <w:lang w:val="en-US" w:eastAsia="zh-CN"/>
        </w:rPr>
      </w:pPr>
      <w:r>
        <w:rPr>
          <w:rFonts w:hint="eastAsia" w:ascii="仿宋_GB2312" w:hAnsi="Times New Roman" w:eastAsia="仿宋_GB2312" w:cs="仿宋_GB2312"/>
          <w:b/>
          <w:color w:val="auto"/>
          <w:spacing w:val="-1"/>
          <w:kern w:val="0"/>
          <w:sz w:val="32"/>
          <w:szCs w:val="32"/>
        </w:rPr>
        <w:t>（一）因公出国（境）费</w:t>
      </w:r>
      <w:r>
        <w:rPr>
          <w:rFonts w:hint="eastAsia" w:ascii="仿宋_GB2312" w:hAnsi="Times New Roman" w:eastAsia="仿宋_GB2312" w:cs="仿宋_GB2312"/>
          <w:b/>
          <w:color w:val="auto"/>
          <w:spacing w:val="-1"/>
          <w:kern w:val="0"/>
          <w:sz w:val="32"/>
          <w:szCs w:val="32"/>
          <w:lang w:val="en-US" w:eastAsia="zh-CN"/>
        </w:rPr>
        <w:t>0</w:t>
      </w:r>
      <w:r>
        <w:rPr>
          <w:rFonts w:hint="eastAsia" w:ascii="仿宋_GB2312" w:hAnsi="Times New Roman" w:eastAsia="仿宋_GB2312" w:cs="仿宋_GB2312"/>
          <w:color w:val="auto"/>
          <w:spacing w:val="-1"/>
          <w:kern w:val="0"/>
          <w:sz w:val="32"/>
          <w:szCs w:val="32"/>
        </w:rPr>
        <w:t>万元，</w:t>
      </w:r>
      <w:r>
        <w:rPr>
          <w:rFonts w:hint="eastAsia" w:ascii="仿宋_GB2312" w:hAnsi="宋体" w:eastAsia="仿宋_GB2312" w:cs="Courier New"/>
          <w:color w:val="auto"/>
          <w:sz w:val="32"/>
          <w:szCs w:val="32"/>
        </w:rPr>
        <w:t>主要用于单位工作人员公务出国（境）的住宿费、旅费、伙食补助费、杂费、培训费等支出。因公出国（境）费预算数与</w:t>
      </w: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年相比，增加</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w:t>
      </w:r>
    </w:p>
    <w:p>
      <w:pPr>
        <w:kinsoku w:val="0"/>
        <w:overflowPunct w:val="0"/>
        <w:autoSpaceDE w:val="0"/>
        <w:autoSpaceDN w:val="0"/>
        <w:adjustRightInd w:val="0"/>
        <w:snapToGrid w:val="0"/>
        <w:spacing w:line="560" w:lineRule="exact"/>
        <w:ind w:firstLine="639" w:firstLineChars="200"/>
        <w:rPr>
          <w:rFonts w:ascii="仿宋_GB2312" w:hAnsi="宋体" w:eastAsia="仿宋_GB2312" w:cs="Courier New"/>
          <w:color w:val="auto"/>
          <w:sz w:val="32"/>
          <w:szCs w:val="32"/>
        </w:rPr>
      </w:pPr>
      <w:r>
        <w:rPr>
          <w:rFonts w:hint="eastAsia" w:ascii="仿宋_GB2312" w:hAnsi="Times New Roman" w:eastAsia="仿宋_GB2312" w:cs="仿宋_GB2312"/>
          <w:b/>
          <w:color w:val="auto"/>
          <w:spacing w:val="-1"/>
          <w:kern w:val="0"/>
          <w:sz w:val="32"/>
          <w:szCs w:val="32"/>
        </w:rPr>
        <w:t>（二）公务用车购置及运行费</w:t>
      </w:r>
      <w:r>
        <w:rPr>
          <w:rFonts w:hint="eastAsia" w:ascii="仿宋_GB2312" w:hAnsi="Times New Roman" w:eastAsia="仿宋_GB2312" w:cs="仿宋_GB2312"/>
          <w:b/>
          <w:color w:val="auto"/>
          <w:spacing w:val="-1"/>
          <w:kern w:val="0"/>
          <w:sz w:val="32"/>
          <w:szCs w:val="32"/>
          <w:lang w:val="en-US" w:eastAsia="zh-CN"/>
        </w:rPr>
        <w:t>7</w:t>
      </w:r>
      <w:r>
        <w:rPr>
          <w:rFonts w:hint="eastAsia" w:ascii="仿宋_GB2312" w:eastAsia="仿宋_GB2312"/>
          <w:b/>
          <w:color w:val="auto"/>
          <w:sz w:val="32"/>
          <w:szCs w:val="32"/>
          <w:lang w:val="en-US" w:eastAsia="zh-CN"/>
        </w:rPr>
        <w:t>.5</w:t>
      </w:r>
      <w:r>
        <w:rPr>
          <w:rFonts w:hint="eastAsia" w:ascii="仿宋_GB2312" w:hAnsi="Times New Roman" w:eastAsia="仿宋_GB2312" w:cs="仿宋_GB2312"/>
          <w:color w:val="auto"/>
          <w:kern w:val="0"/>
          <w:sz w:val="32"/>
          <w:szCs w:val="32"/>
        </w:rPr>
        <w:t>万</w:t>
      </w:r>
      <w:r>
        <w:rPr>
          <w:rFonts w:hint="eastAsia" w:ascii="仿宋_GB2312" w:hAnsi="宋体" w:eastAsia="仿宋_GB2312" w:cs="Courier New"/>
          <w:color w:val="auto"/>
          <w:sz w:val="32"/>
          <w:szCs w:val="32"/>
        </w:rPr>
        <w:t>元，其中，公务用车购置费</w:t>
      </w:r>
      <w:r>
        <w:rPr>
          <w:rFonts w:hint="eastAsia" w:ascii="仿宋_GB2312" w:eastAsia="仿宋_GB2312"/>
          <w:b/>
          <w:color w:val="auto"/>
          <w:sz w:val="32"/>
          <w:szCs w:val="32"/>
          <w:lang w:val="en-US" w:eastAsia="zh-CN"/>
        </w:rPr>
        <w:t>0</w:t>
      </w:r>
      <w:r>
        <w:rPr>
          <w:rFonts w:hint="eastAsia" w:ascii="仿宋_GB2312" w:hAnsi="宋体" w:eastAsia="仿宋_GB2312" w:cs="Courier New"/>
          <w:color w:val="auto"/>
          <w:sz w:val="32"/>
          <w:szCs w:val="32"/>
        </w:rPr>
        <w:t>万元；公务用车运行维护费</w:t>
      </w:r>
      <w:r>
        <w:rPr>
          <w:rFonts w:hint="eastAsia" w:ascii="仿宋_GB2312" w:eastAsia="仿宋_GB2312"/>
          <w:b/>
          <w:color w:val="auto"/>
          <w:sz w:val="32"/>
          <w:szCs w:val="32"/>
          <w:lang w:val="en-US" w:eastAsia="zh-CN"/>
        </w:rPr>
        <w:t>7.5</w:t>
      </w:r>
      <w:r>
        <w:rPr>
          <w:rFonts w:hint="eastAsia" w:ascii="仿宋_GB2312" w:hAnsi="宋体" w:eastAsia="仿宋_GB2312" w:cs="Courier New"/>
          <w:color w:val="auto"/>
          <w:sz w:val="32"/>
          <w:szCs w:val="32"/>
        </w:rPr>
        <w:t>万元，主要用于开展工作所需公务用车的燃料费、维修费、过路过桥费、保险费、安全奖励费用等支出。公务用车购置费预算数与</w:t>
      </w:r>
      <w:r>
        <w:rPr>
          <w:rFonts w:ascii="仿宋_GB2312" w:hAnsi="宋体" w:eastAsia="仿宋_GB2312" w:cs="Courier New"/>
          <w:color w:val="auto"/>
          <w:sz w:val="32"/>
          <w:szCs w:val="32"/>
        </w:rPr>
        <w:t xml:space="preserve"> 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年相比增加</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万元。公务用车运行维护费预算数比</w:t>
      </w:r>
      <w:r>
        <w:rPr>
          <w:rFonts w:ascii="仿宋_GB2312" w:hAnsi="宋体" w:eastAsia="仿宋_GB2312" w:cs="Courier New"/>
          <w:color w:val="auto"/>
          <w:sz w:val="32"/>
          <w:szCs w:val="32"/>
        </w:rPr>
        <w:t xml:space="preserve"> 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w:t>
      </w:r>
      <w:bookmarkStart w:id="0" w:name="OLE_LINK1"/>
      <w:r>
        <w:rPr>
          <w:rFonts w:hint="eastAsia" w:ascii="仿宋_GB2312" w:hAnsi="宋体" w:eastAsia="仿宋_GB2312" w:cs="Courier New"/>
          <w:color w:val="auto"/>
          <w:sz w:val="32"/>
          <w:szCs w:val="32"/>
        </w:rPr>
        <w:t>增加</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w:t>
      </w:r>
      <w:bookmarkEnd w:id="0"/>
      <w:r>
        <w:rPr>
          <w:rFonts w:hint="eastAsia" w:ascii="仿宋_GB2312" w:hAnsi="宋体" w:eastAsia="仿宋_GB2312" w:cs="Courier New"/>
          <w:color w:val="auto"/>
          <w:sz w:val="32"/>
          <w:szCs w:val="32"/>
        </w:rPr>
        <w:t>。</w:t>
      </w:r>
    </w:p>
    <w:p>
      <w:pPr>
        <w:kinsoku w:val="0"/>
        <w:overflowPunct w:val="0"/>
        <w:autoSpaceDE w:val="0"/>
        <w:autoSpaceDN w:val="0"/>
        <w:adjustRightInd w:val="0"/>
        <w:snapToGrid w:val="0"/>
        <w:spacing w:line="360" w:lineRule="auto"/>
        <w:ind w:firstLine="639" w:firstLineChars="200"/>
        <w:rPr>
          <w:rFonts w:ascii="仿宋_GB2312" w:hAnsi="宋体" w:eastAsia="仿宋_GB2312" w:cs="Courier New"/>
          <w:color w:val="auto"/>
          <w:sz w:val="32"/>
          <w:szCs w:val="32"/>
        </w:rPr>
      </w:pPr>
      <w:r>
        <w:rPr>
          <w:rFonts w:hint="eastAsia" w:ascii="仿宋_GB2312" w:hAnsi="Times New Roman" w:eastAsia="仿宋_GB2312" w:cs="仿宋_GB2312"/>
          <w:b/>
          <w:color w:val="auto"/>
          <w:spacing w:val="-1"/>
          <w:kern w:val="0"/>
          <w:sz w:val="32"/>
          <w:szCs w:val="32"/>
        </w:rPr>
        <w:t>（三）公务接待费</w:t>
      </w:r>
      <w:r>
        <w:rPr>
          <w:rFonts w:hint="eastAsia" w:ascii="仿宋_GB2312" w:eastAsia="仿宋_GB2312"/>
          <w:b/>
          <w:color w:val="auto"/>
          <w:sz w:val="32"/>
          <w:szCs w:val="32"/>
          <w:lang w:val="en-US" w:eastAsia="zh-CN"/>
        </w:rPr>
        <w:t>5</w:t>
      </w:r>
      <w:r>
        <w:rPr>
          <w:rFonts w:hint="eastAsia" w:ascii="仿宋_GB2312" w:hAnsi="宋体" w:eastAsia="仿宋_GB2312" w:cs="Courier New"/>
          <w:color w:val="auto"/>
          <w:sz w:val="32"/>
          <w:szCs w:val="32"/>
        </w:rPr>
        <w:t>万元，主要用于按规定开支的各类公务接待（含外宾接待）支出。公务接待费预算数比</w:t>
      </w:r>
      <w:r>
        <w:rPr>
          <w:rFonts w:ascii="仿宋_GB2312" w:hAnsi="宋体" w:eastAsia="仿宋_GB2312" w:cs="Courier New"/>
          <w:color w:val="auto"/>
          <w:sz w:val="32"/>
          <w:szCs w:val="32"/>
        </w:rPr>
        <w:t xml:space="preserve"> 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年增加</w:t>
      </w:r>
      <w:r>
        <w:rPr>
          <w:rFonts w:hint="eastAsia" w:ascii="仿宋_GB2312" w:hAnsi="宋体" w:eastAsia="仿宋_GB2312" w:cs="Courier New"/>
          <w:color w:val="auto"/>
          <w:sz w:val="32"/>
          <w:szCs w:val="32"/>
          <w:lang w:val="en-US" w:eastAsia="zh-CN"/>
        </w:rPr>
        <w:t>0</w:t>
      </w:r>
      <w:r>
        <w:rPr>
          <w:rFonts w:hint="eastAsia" w:ascii="仿宋_GB2312" w:hAnsi="宋体" w:eastAsia="仿宋_GB2312" w:cs="Courier New"/>
          <w:color w:val="auto"/>
          <w:sz w:val="32"/>
          <w:szCs w:val="32"/>
        </w:rPr>
        <w:t>万元。</w:t>
      </w:r>
    </w:p>
    <w:p>
      <w:pPr>
        <w:spacing w:line="560" w:lineRule="exact"/>
        <w:ind w:firstLine="640" w:firstLineChars="200"/>
        <w:rPr>
          <w:rFonts w:ascii="仿宋_GB2312" w:eastAsia="仿宋_GB2312"/>
          <w:color w:val="auto"/>
          <w:sz w:val="32"/>
          <w:szCs w:val="32"/>
        </w:rPr>
      </w:pPr>
      <w:r>
        <w:rPr>
          <w:rFonts w:hint="eastAsia" w:ascii="黑体" w:hAnsi="Times New Roman" w:eastAsia="黑体" w:cs="黑体"/>
          <w:color w:val="auto"/>
          <w:kern w:val="0"/>
          <w:sz w:val="32"/>
          <w:szCs w:val="32"/>
        </w:rPr>
        <w:t>八、政府性基金预算支出情况说明</w:t>
      </w:r>
    </w:p>
    <w:p>
      <w:pPr>
        <w:spacing w:line="560" w:lineRule="exact"/>
        <w:ind w:firstLine="640" w:firstLineChars="200"/>
        <w:rPr>
          <w:rFonts w:ascii="仿宋_GB2312" w:hAnsi="宋体" w:eastAsia="仿宋_GB2312" w:cs="Courier New"/>
          <w:color w:val="auto"/>
          <w:sz w:val="32"/>
          <w:szCs w:val="32"/>
        </w:rPr>
      </w:pPr>
      <w:r>
        <w:rPr>
          <w:rFonts w:hint="eastAsia" w:ascii="仿宋_GB2312" w:eastAsia="仿宋_GB2312"/>
          <w:b w:val="0"/>
          <w:bCs/>
          <w:color w:val="auto"/>
          <w:sz w:val="32"/>
          <w:szCs w:val="32"/>
          <w:lang w:eastAsia="zh-CN"/>
        </w:rPr>
        <w:t>我部门</w:t>
      </w:r>
      <w:r>
        <w:rPr>
          <w:rFonts w:hint="eastAsia" w:ascii="仿宋_GB2312" w:eastAsia="仿宋_GB2312"/>
          <w:b w:val="0"/>
          <w:bCs/>
          <w:color w:val="auto"/>
          <w:sz w:val="32"/>
          <w:szCs w:val="32"/>
          <w:lang w:val="en-US" w:eastAsia="zh-CN"/>
        </w:rPr>
        <w:t>2023年没有使用政府性基金预算拨款安排的支出。</w:t>
      </w:r>
    </w:p>
    <w:p>
      <w:pPr>
        <w:kinsoku w:val="0"/>
        <w:overflowPunct w:val="0"/>
        <w:adjustRightInd w:val="0"/>
        <w:snapToGrid w:val="0"/>
        <w:spacing w:line="360" w:lineRule="auto"/>
        <w:ind w:firstLine="643" w:firstLineChars="200"/>
        <w:jc w:val="left"/>
        <w:rPr>
          <w:rFonts w:ascii="仿宋_GB2312" w:hAnsi="Times New Roman" w:eastAsia="仿宋_GB2312" w:cs="仿宋_GB2312"/>
          <w:b/>
          <w:color w:val="auto"/>
          <w:sz w:val="32"/>
          <w:szCs w:val="32"/>
        </w:rPr>
      </w:pPr>
      <w:r>
        <w:rPr>
          <w:rFonts w:hint="eastAsia" w:ascii="仿宋_GB2312" w:eastAsia="仿宋_GB2312"/>
          <w:b/>
          <w:color w:val="auto"/>
          <w:sz w:val="32"/>
          <w:szCs w:val="32"/>
          <w:shd w:val="clear" w:color="auto" w:fill="FFFFFF"/>
          <w:lang w:eastAsia="zh-CN"/>
        </w:rPr>
        <w:t>九、</w:t>
      </w:r>
      <w:r>
        <w:rPr>
          <w:rFonts w:hint="eastAsia" w:ascii="仿宋_GB2312" w:eastAsia="仿宋_GB2312"/>
          <w:b/>
          <w:color w:val="auto"/>
          <w:sz w:val="32"/>
          <w:szCs w:val="32"/>
          <w:shd w:val="clear" w:color="auto" w:fill="FFFFFF"/>
        </w:rPr>
        <w:t>其他重要事项的情况说明</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color w:val="auto"/>
          <w:sz w:val="32"/>
          <w:szCs w:val="32"/>
        </w:rPr>
      </w:pPr>
      <w:r>
        <w:rPr>
          <w:rFonts w:hint="eastAsia" w:ascii="仿宋_GB2312" w:hAnsi="Times New Roman" w:eastAsia="仿宋_GB2312" w:cs="仿宋_GB2312"/>
          <w:b/>
          <w:color w:val="auto"/>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年机关运行经费支出预算</w:t>
      </w:r>
      <w:r>
        <w:rPr>
          <w:rFonts w:hint="eastAsia" w:ascii="仿宋_GB2312" w:eastAsia="仿宋_GB2312"/>
          <w:b/>
          <w:color w:val="auto"/>
          <w:sz w:val="32"/>
          <w:szCs w:val="32"/>
          <w:lang w:val="en-US" w:eastAsia="zh-CN"/>
        </w:rPr>
        <w:t>832.21</w:t>
      </w:r>
      <w:r>
        <w:rPr>
          <w:rFonts w:hint="eastAsia" w:ascii="仿宋_GB2312" w:hAnsi="宋体" w:eastAsia="仿宋_GB2312" w:cs="Courier New"/>
          <w:color w:val="auto"/>
          <w:sz w:val="32"/>
          <w:szCs w:val="32"/>
        </w:rPr>
        <w:t>万元，</w:t>
      </w:r>
      <w:r>
        <w:rPr>
          <w:rFonts w:hint="eastAsia" w:ascii="仿宋_GB2312" w:eastAsia="仿宋_GB2312"/>
          <w:color w:val="auto"/>
          <w:sz w:val="32"/>
          <w:szCs w:val="32"/>
        </w:rPr>
        <w:t>主要保障机构正常运行</w:t>
      </w:r>
      <w:r>
        <w:rPr>
          <w:rFonts w:hint="eastAsia" w:ascii="仿宋_GB2312" w:eastAsia="仿宋_GB2312"/>
          <w:color w:val="auto"/>
          <w:sz w:val="32"/>
          <w:szCs w:val="32"/>
          <w:lang w:eastAsia="zh-CN"/>
        </w:rPr>
        <w:t>及正常履职需要所需支出，包括公用经费、公务交通补贴、工会经费、职工福利等。</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color w:val="auto"/>
          <w:kern w:val="0"/>
          <w:sz w:val="32"/>
          <w:szCs w:val="32"/>
        </w:rPr>
      </w:pPr>
      <w:r>
        <w:rPr>
          <w:rFonts w:hint="eastAsia" w:ascii="仿宋_GB2312" w:hAnsi="Times New Roman" w:eastAsia="仿宋_GB2312" w:cs="仿宋_GB2312"/>
          <w:b/>
          <w:color w:val="auto"/>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color w:val="auto"/>
          <w:kern w:val="0"/>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年政府采购预算安排</w:t>
      </w:r>
      <w:r>
        <w:rPr>
          <w:rFonts w:hint="eastAsia" w:ascii="仿宋_GB2312" w:eastAsia="仿宋_GB2312"/>
          <w:b/>
          <w:color w:val="auto"/>
          <w:sz w:val="32"/>
          <w:szCs w:val="32"/>
          <w:lang w:val="en-US" w:eastAsia="zh-CN"/>
        </w:rPr>
        <w:t>100</w:t>
      </w:r>
      <w:r>
        <w:rPr>
          <w:rFonts w:hint="eastAsia" w:ascii="仿宋_GB2312" w:eastAsia="仿宋_GB2312"/>
          <w:color w:val="auto"/>
          <w:sz w:val="32"/>
          <w:szCs w:val="32"/>
        </w:rPr>
        <w:t>万元，其中：政府采购货物预算</w:t>
      </w:r>
      <w:r>
        <w:rPr>
          <w:rFonts w:hint="eastAsia" w:ascii="仿宋_GB2312" w:eastAsia="仿宋_GB2312"/>
          <w:color w:val="auto"/>
          <w:sz w:val="32"/>
          <w:szCs w:val="32"/>
          <w:lang w:val="en-US" w:eastAsia="zh-CN"/>
        </w:rPr>
        <w:t>1</w:t>
      </w:r>
      <w:r>
        <w:rPr>
          <w:rFonts w:hint="eastAsia" w:ascii="仿宋_GB2312" w:eastAsia="仿宋_GB2312"/>
          <w:b/>
          <w:color w:val="auto"/>
          <w:sz w:val="32"/>
          <w:szCs w:val="32"/>
          <w:lang w:val="en-US" w:eastAsia="zh-CN"/>
        </w:rPr>
        <w:t>00</w:t>
      </w:r>
      <w:r>
        <w:rPr>
          <w:rFonts w:hint="eastAsia" w:ascii="仿宋_GB2312" w:eastAsia="仿宋_GB2312"/>
          <w:color w:val="auto"/>
          <w:sz w:val="32"/>
          <w:szCs w:val="32"/>
        </w:rPr>
        <w:t>万元、政府采购工程预算</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万元、政府采购服务预算</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w:t>
      </w:r>
    </w:p>
    <w:p>
      <w:pPr>
        <w:kinsoku w:val="0"/>
        <w:overflowPunct w:val="0"/>
        <w:adjustRightInd w:val="0"/>
        <w:snapToGrid w:val="0"/>
        <w:spacing w:line="360" w:lineRule="auto"/>
        <w:ind w:firstLine="482" w:firstLineChars="150"/>
        <w:jc w:val="left"/>
        <w:rPr>
          <w:rFonts w:hint="eastAsia" w:ascii="仿宋_GB2312" w:hAnsi="Times New Roman" w:eastAsia="仿宋_GB2312" w:cs="仿宋_GB2312"/>
          <w:b/>
          <w:color w:val="auto"/>
          <w:sz w:val="32"/>
          <w:szCs w:val="32"/>
          <w:lang w:eastAsia="zh-CN"/>
        </w:rPr>
      </w:pPr>
      <w:r>
        <w:rPr>
          <w:rFonts w:hint="eastAsia" w:ascii="仿宋_GB2312" w:hAnsi="Times New Roman" w:eastAsia="仿宋_GB2312" w:cs="仿宋_GB2312"/>
          <w:b/>
          <w:color w:val="auto"/>
          <w:kern w:val="0"/>
          <w:sz w:val="32"/>
          <w:szCs w:val="32"/>
        </w:rPr>
        <w:t>（三）</w:t>
      </w:r>
      <w:r>
        <w:rPr>
          <w:rFonts w:hint="eastAsia" w:ascii="仿宋_GB2312" w:hAnsi="Times New Roman" w:eastAsia="仿宋_GB2312" w:cs="仿宋_GB2312"/>
          <w:b/>
          <w:color w:val="auto"/>
          <w:sz w:val="32"/>
          <w:szCs w:val="32"/>
        </w:rPr>
        <w:t>绩效目标</w:t>
      </w:r>
      <w:r>
        <w:rPr>
          <w:rFonts w:hint="eastAsia" w:ascii="仿宋_GB2312" w:hAnsi="Times New Roman" w:eastAsia="仿宋_GB2312" w:cs="仿宋_GB2312"/>
          <w:b/>
          <w:color w:val="auto"/>
          <w:sz w:val="32"/>
          <w:szCs w:val="32"/>
          <w:lang w:eastAsia="zh-CN"/>
        </w:rPr>
        <w:t>设置情况</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color w:val="auto"/>
          <w:sz w:val="32"/>
          <w:szCs w:val="32"/>
          <w:highlight w:val="none"/>
        </w:rPr>
      </w:pPr>
      <w:r>
        <w:rPr>
          <w:rFonts w:hint="eastAsia" w:ascii="仿宋_GB2312" w:eastAsia="仿宋_GB2312"/>
          <w:color w:val="auto"/>
          <w:sz w:val="32"/>
          <w:szCs w:val="32"/>
          <w:highlight w:val="none"/>
        </w:rPr>
        <w:t>我</w:t>
      </w:r>
      <w:r>
        <w:rPr>
          <w:rFonts w:hint="eastAsia" w:ascii="仿宋_GB2312" w:hAnsi="宋体" w:eastAsia="仿宋_GB2312" w:cs="Courier New"/>
          <w:color w:val="auto"/>
          <w:sz w:val="32"/>
          <w:szCs w:val="32"/>
          <w:highlight w:val="none"/>
        </w:rPr>
        <w:t>部门</w:t>
      </w:r>
      <w:r>
        <w:rPr>
          <w:rFonts w:hint="eastAsia" w:ascii="仿宋_GB2312" w:hAnsi="宋体" w:eastAsia="仿宋_GB2312" w:cs="Courier New"/>
          <w:color w:val="auto"/>
          <w:sz w:val="32"/>
          <w:szCs w:val="32"/>
          <w:highlight w:val="none"/>
          <w:lang w:val="en-US" w:eastAsia="zh-CN"/>
        </w:rPr>
        <w:t>2023年预算项目分别</w:t>
      </w:r>
      <w:r>
        <w:rPr>
          <w:rFonts w:hint="eastAsia" w:ascii="仿宋_GB2312" w:hAnsi="宋体" w:eastAsia="仿宋_GB2312" w:cs="Courier New"/>
          <w:color w:val="auto"/>
          <w:sz w:val="32"/>
          <w:szCs w:val="32"/>
          <w:highlight w:val="none"/>
          <w:lang w:eastAsia="zh-CN"/>
        </w:rPr>
        <w:t>从项目产出、项目效益、项目满意度等方面设立了绩效目标，综合反映了预算的数量、质量，社会经济效益、可持续影响及服务对象满意度等情况</w:t>
      </w:r>
      <w:r>
        <w:rPr>
          <w:rFonts w:hint="eastAsia" w:ascii="仿宋_GB2312" w:hAnsi="宋体" w:eastAsia="仿宋_GB2312" w:cs="Courier New"/>
          <w:color w:val="auto"/>
          <w:sz w:val="32"/>
          <w:szCs w:val="32"/>
          <w:highlight w:val="none"/>
        </w:rPr>
        <w:t>。</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color w:val="auto"/>
          <w:kern w:val="0"/>
          <w:sz w:val="32"/>
          <w:szCs w:val="32"/>
        </w:rPr>
      </w:pPr>
      <w:r>
        <w:rPr>
          <w:rFonts w:hint="eastAsia" w:ascii="仿宋_GB2312" w:hAnsi="Times New Roman" w:eastAsia="仿宋_GB2312" w:cs="仿宋_GB2312"/>
          <w:b/>
          <w:color w:val="auto"/>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ascii="仿宋_GB2312" w:hAnsi="宋体" w:eastAsia="仿宋_GB2312" w:cs="Courier New"/>
          <w:color w:val="auto"/>
          <w:sz w:val="32"/>
          <w:szCs w:val="32"/>
        </w:rPr>
        <w:t>20</w:t>
      </w:r>
      <w:r>
        <w:rPr>
          <w:rFonts w:hint="eastAsia" w:ascii="仿宋_GB2312" w:hAnsi="宋体" w:eastAsia="仿宋_GB2312" w:cs="Courier New"/>
          <w:color w:val="auto"/>
          <w:sz w:val="32"/>
          <w:szCs w:val="32"/>
        </w:rPr>
        <w:t>2</w:t>
      </w:r>
      <w:r>
        <w:rPr>
          <w:rFonts w:hint="eastAsia" w:ascii="仿宋_GB2312" w:hAnsi="宋体" w:eastAsia="仿宋_GB2312" w:cs="Courier New"/>
          <w:color w:val="auto"/>
          <w:sz w:val="32"/>
          <w:szCs w:val="32"/>
          <w:lang w:val="en-US" w:eastAsia="zh-CN"/>
        </w:rPr>
        <w:t>2</w:t>
      </w:r>
      <w:r>
        <w:rPr>
          <w:rFonts w:hint="eastAsia" w:ascii="仿宋_GB2312" w:hAnsi="宋体" w:eastAsia="仿宋_GB2312" w:cs="Courier New"/>
          <w:color w:val="auto"/>
          <w:sz w:val="32"/>
          <w:szCs w:val="32"/>
        </w:rPr>
        <w:t>年末，我部门共有车辆</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辆，其中：一般公务用车</w:t>
      </w:r>
      <w:r>
        <w:rPr>
          <w:rFonts w:hint="eastAsia" w:ascii="仿宋_GB2312" w:eastAsia="仿宋_GB2312"/>
          <w:color w:val="auto"/>
          <w:sz w:val="32"/>
          <w:szCs w:val="32"/>
          <w:lang w:val="en-US" w:eastAsia="zh-CN"/>
        </w:rPr>
        <w:t>3</w:t>
      </w:r>
      <w:r>
        <w:rPr>
          <w:rFonts w:hint="eastAsia" w:ascii="仿宋_GB2312" w:hAnsi="宋体" w:eastAsia="仿宋_GB2312" w:cs="Courier New"/>
          <w:color w:val="auto"/>
          <w:sz w:val="32"/>
          <w:szCs w:val="32"/>
        </w:rPr>
        <w:t>辆、一般执法执勤用车</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辆、特种专业技术用车</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辆，其他用车</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辆；单价</w:t>
      </w:r>
      <w:r>
        <w:rPr>
          <w:rFonts w:ascii="仿宋_GB2312" w:hAnsi="宋体" w:eastAsia="仿宋_GB2312" w:cs="Courier New"/>
          <w:color w:val="auto"/>
          <w:sz w:val="32"/>
          <w:szCs w:val="32"/>
        </w:rPr>
        <w:t>50</w:t>
      </w:r>
      <w:r>
        <w:rPr>
          <w:rFonts w:hint="eastAsia" w:ascii="仿宋_GB2312" w:hAnsi="宋体" w:eastAsia="仿宋_GB2312" w:cs="Courier New"/>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台（套），单位价值</w:t>
      </w:r>
      <w:r>
        <w:rPr>
          <w:rFonts w:ascii="仿宋_GB2312" w:hAnsi="宋体" w:eastAsia="仿宋_GB2312" w:cs="Courier New"/>
          <w:color w:val="auto"/>
          <w:sz w:val="32"/>
          <w:szCs w:val="32"/>
        </w:rPr>
        <w:t>100</w:t>
      </w:r>
      <w:r>
        <w:rPr>
          <w:rFonts w:hint="eastAsia" w:ascii="仿宋_GB2312" w:hAnsi="宋体" w:eastAsia="仿宋_GB2312" w:cs="Courier New"/>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hAnsi="宋体" w:eastAsia="仿宋_GB2312" w:cs="Courier New"/>
          <w:color w:val="auto"/>
          <w:sz w:val="32"/>
          <w:szCs w:val="32"/>
        </w:rPr>
        <w:t>台（套）。</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color w:val="auto"/>
          <w:sz w:val="32"/>
          <w:szCs w:val="32"/>
        </w:rPr>
      </w:pPr>
      <w:r>
        <w:rPr>
          <w:rFonts w:hint="eastAsia" w:ascii="仿宋_GB2312" w:hAnsi="宋体" w:eastAsia="仿宋_GB2312" w:cs="Courier New"/>
          <w:b/>
          <w:color w:val="auto"/>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color w:val="auto"/>
          <w:sz w:val="32"/>
          <w:szCs w:val="32"/>
          <w:lang w:eastAsia="zh-CN"/>
        </w:rPr>
      </w:pPr>
      <w:r>
        <w:rPr>
          <w:rFonts w:hint="eastAsia" w:ascii="仿宋_GB2312" w:hAnsi="宋体" w:eastAsia="仿宋_GB2312" w:cs="Courier New"/>
          <w:color w:val="auto"/>
          <w:sz w:val="32"/>
          <w:szCs w:val="32"/>
        </w:rPr>
        <w:t>我部门202</w:t>
      </w:r>
      <w:r>
        <w:rPr>
          <w:rFonts w:hint="eastAsia" w:ascii="仿宋_GB2312" w:hAnsi="宋体" w:eastAsia="仿宋_GB2312" w:cs="Courier New"/>
          <w:color w:val="auto"/>
          <w:sz w:val="32"/>
          <w:szCs w:val="32"/>
          <w:lang w:val="en-US" w:eastAsia="zh-CN"/>
        </w:rPr>
        <w:t>3</w:t>
      </w:r>
      <w:r>
        <w:rPr>
          <w:rFonts w:hint="eastAsia" w:ascii="仿宋_GB2312" w:hAnsi="宋体" w:eastAsia="仿宋_GB2312" w:cs="Courier New"/>
          <w:color w:val="auto"/>
          <w:sz w:val="32"/>
          <w:szCs w:val="32"/>
        </w:rPr>
        <w:t>年没有专项转移支付项目</w:t>
      </w:r>
      <w:r>
        <w:rPr>
          <w:rFonts w:hint="eastAsia" w:ascii="仿宋_GB2312" w:hAnsi="宋体" w:eastAsia="仿宋_GB2312" w:cs="Courier New"/>
          <w:color w:val="auto"/>
          <w:sz w:val="32"/>
          <w:szCs w:val="32"/>
          <w:lang w:eastAsia="zh-CN"/>
        </w:rPr>
        <w:t>。</w:t>
      </w:r>
    </w:p>
    <w:p>
      <w:pPr>
        <w:adjustRightInd w:val="0"/>
        <w:snapToGrid w:val="0"/>
        <w:spacing w:line="360" w:lineRule="auto"/>
        <w:jc w:val="center"/>
        <w:rPr>
          <w:rFonts w:hint="eastAsia" w:ascii="黑体" w:hAnsi="黑体" w:eastAsia="黑体"/>
          <w:color w:val="auto"/>
          <w:sz w:val="32"/>
          <w:szCs w:val="32"/>
        </w:rPr>
      </w:pPr>
    </w:p>
    <w:p>
      <w:pPr>
        <w:adjustRightInd w:val="0"/>
        <w:snapToGrid w:val="0"/>
        <w:spacing w:line="360" w:lineRule="auto"/>
        <w:jc w:val="center"/>
        <w:rPr>
          <w:rFonts w:hint="eastAsia" w:ascii="黑体" w:hAnsi="黑体" w:eastAsia="黑体"/>
          <w:color w:val="auto"/>
          <w:sz w:val="32"/>
          <w:szCs w:val="32"/>
        </w:rPr>
      </w:pPr>
    </w:p>
    <w:p>
      <w:pPr>
        <w:adjustRightInd w:val="0"/>
        <w:snapToGrid w:val="0"/>
        <w:spacing w:line="360" w:lineRule="auto"/>
        <w:jc w:val="center"/>
        <w:rPr>
          <w:rFonts w:hint="eastAsia" w:ascii="黑体" w:hAnsi="黑体" w:eastAsia="黑体"/>
          <w:color w:val="auto"/>
          <w:sz w:val="32"/>
          <w:szCs w:val="32"/>
        </w:rPr>
      </w:pPr>
    </w:p>
    <w:p>
      <w:pPr>
        <w:adjustRightInd w:val="0"/>
        <w:snapToGrid w:val="0"/>
        <w:spacing w:line="360" w:lineRule="auto"/>
        <w:jc w:val="center"/>
        <w:rPr>
          <w:rFonts w:hint="eastAsia" w:ascii="黑体" w:hAnsi="黑体" w:eastAsia="黑体"/>
          <w:color w:val="auto"/>
          <w:sz w:val="32"/>
          <w:szCs w:val="32"/>
        </w:rPr>
      </w:pPr>
    </w:p>
    <w:p>
      <w:pPr>
        <w:adjustRightInd w:val="0"/>
        <w:snapToGrid w:val="0"/>
        <w:spacing w:line="360" w:lineRule="auto"/>
        <w:jc w:val="center"/>
        <w:rPr>
          <w:rFonts w:hint="eastAsia" w:ascii="黑体" w:hAnsi="黑体" w:eastAsia="黑体"/>
          <w:color w:val="auto"/>
          <w:sz w:val="32"/>
          <w:szCs w:val="32"/>
        </w:rPr>
      </w:pPr>
    </w:p>
    <w:p>
      <w:pPr>
        <w:adjustRightInd w:val="0"/>
        <w:snapToGrid w:val="0"/>
        <w:spacing w:line="360" w:lineRule="auto"/>
        <w:jc w:val="center"/>
        <w:rPr>
          <w:rFonts w:hint="eastAsia" w:ascii="黑体" w:hAnsi="黑体" w:eastAsia="黑体"/>
          <w:color w:val="auto"/>
          <w:sz w:val="32"/>
          <w:szCs w:val="32"/>
        </w:rPr>
      </w:pPr>
    </w:p>
    <w:p>
      <w:pPr>
        <w:adjustRightInd w:val="0"/>
        <w:snapToGrid w:val="0"/>
        <w:spacing w:line="360" w:lineRule="auto"/>
        <w:jc w:val="center"/>
        <w:rPr>
          <w:rFonts w:hint="eastAsia" w:ascii="黑体" w:hAnsi="黑体" w:eastAsia="黑体"/>
          <w:color w:val="auto"/>
          <w:sz w:val="32"/>
          <w:szCs w:val="32"/>
        </w:rPr>
      </w:pPr>
    </w:p>
    <w:p>
      <w:pPr>
        <w:adjustRightInd w:val="0"/>
        <w:snapToGrid w:val="0"/>
        <w:spacing w:line="360" w:lineRule="auto"/>
        <w:jc w:val="center"/>
        <w:rPr>
          <w:rFonts w:ascii="黑体" w:hAnsi="黑体" w:eastAsia="黑体"/>
          <w:color w:val="auto"/>
          <w:sz w:val="32"/>
          <w:szCs w:val="32"/>
        </w:rPr>
      </w:pPr>
      <w:r>
        <w:rPr>
          <w:rFonts w:hint="eastAsia" w:ascii="黑体" w:hAnsi="黑体" w:eastAsia="黑体"/>
          <w:color w:val="auto"/>
          <w:sz w:val="32"/>
          <w:szCs w:val="32"/>
        </w:rPr>
        <w:t>第三部分</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名词解释</w:t>
      </w:r>
    </w:p>
    <w:p>
      <w:pPr>
        <w:adjustRightInd w:val="0"/>
        <w:snapToGrid w:val="0"/>
        <w:spacing w:line="360" w:lineRule="auto"/>
        <w:jc w:val="center"/>
        <w:rPr>
          <w:rFonts w:ascii="黑体" w:hAnsi="黑体" w:eastAsia="黑体"/>
          <w:color w:val="auto"/>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rPr>
        <w:t>一、财政拨款收入：是指同级财政当年拨付的资金。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rPr>
        <w:t>三、其他收入：是指部门取得的除“财政拨款”、“事业收入”、“事业单位经营收入”等以外的收入。</w:t>
      </w:r>
      <w:r>
        <w:rPr>
          <w:rFonts w:ascii="仿宋_GB2312" w:hAnsi="宋体" w:eastAsia="仿宋_GB2312" w:cs="Courier New"/>
          <w:color w:val="auto"/>
          <w:sz w:val="32"/>
          <w:szCs w:val="32"/>
        </w:rPr>
        <w:t xml:space="preserve">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color w:val="auto"/>
          <w:sz w:val="32"/>
          <w:szCs w:val="32"/>
        </w:rPr>
        <w:t xml:space="preserve"> </w:t>
      </w:r>
      <w:r>
        <w:rPr>
          <w:rFonts w:hint="eastAsia" w:ascii="仿宋_GB2312" w:hAnsi="宋体" w:eastAsia="仿宋_GB2312" w:cs="Courier New"/>
          <w:color w:val="auto"/>
          <w:sz w:val="32"/>
          <w:szCs w:val="32"/>
        </w:rPr>
        <w:t>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lang w:eastAsia="zh-CN"/>
        </w:rPr>
        <w:t>六</w:t>
      </w:r>
      <w:r>
        <w:rPr>
          <w:rFonts w:hint="eastAsia" w:ascii="仿宋_GB2312" w:hAnsi="宋体" w:eastAsia="仿宋_GB2312" w:cs="Courier New"/>
          <w:color w:val="auto"/>
          <w:sz w:val="32"/>
          <w:szCs w:val="32"/>
        </w:rPr>
        <w:t>、基本支出：是指为保障机构正常运转、完成日常工作任务所必需的开支，其内容包括人员经费和日常公用经费两部分。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lang w:eastAsia="zh-CN"/>
        </w:rPr>
        <w:t>七</w:t>
      </w:r>
      <w:r>
        <w:rPr>
          <w:rFonts w:hint="eastAsia" w:ascii="仿宋_GB2312" w:hAnsi="宋体" w:eastAsia="仿宋_GB2312" w:cs="Courier New"/>
          <w:color w:val="auto"/>
          <w:sz w:val="32"/>
          <w:szCs w:val="32"/>
        </w:rPr>
        <w:t>、项目支出：是指在基本支出之外，为完成特定的行政工作任务或事业发展目标所发生的支出。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r>
        <w:rPr>
          <w:rFonts w:hint="eastAsia" w:ascii="仿宋_GB2312" w:hAnsi="宋体" w:eastAsia="仿宋_GB2312" w:cs="Courier New"/>
          <w:color w:val="auto"/>
          <w:sz w:val="32"/>
          <w:szCs w:val="32"/>
          <w:lang w:eastAsia="zh-CN"/>
        </w:rPr>
        <w:t>八</w:t>
      </w:r>
      <w:r>
        <w:rPr>
          <w:rFonts w:hint="eastAsia" w:ascii="仿宋_GB2312" w:hAnsi="宋体" w:eastAsia="仿宋_GB2312" w:cs="Courier New"/>
          <w:color w:val="auto"/>
          <w:sz w:val="32"/>
          <w:szCs w:val="32"/>
        </w:rPr>
        <w:t>、“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hint="eastAsia" w:ascii="仿宋_GB2312" w:hAnsi="宋体"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jc w:val="center"/>
        <w:rPr>
          <w:rFonts w:ascii="仿宋_GB2312" w:hAnsi="仿宋_GB2312" w:eastAsia="仿宋_GB2312" w:cs="仿宋_GB2312"/>
          <w:color w:val="auto"/>
          <w:sz w:val="32"/>
          <w:szCs w:val="32"/>
        </w:rPr>
      </w:pPr>
      <w:r>
        <w:rPr>
          <w:rFonts w:hint="eastAsia" w:ascii="仿宋_GB2312" w:hAnsi="宋体" w:eastAsia="仿宋_GB2312" w:cs="Courier New"/>
          <w:color w:val="auto"/>
          <w:sz w:val="32"/>
          <w:szCs w:val="32"/>
        </w:rPr>
        <w:t>第四部分</w:t>
      </w:r>
      <w:r>
        <w:rPr>
          <w:rFonts w:ascii="仿宋_GB2312" w:hAnsi="宋体" w:eastAsia="仿宋_GB2312" w:cs="Courier New"/>
          <w:color w:val="auto"/>
          <w:sz w:val="32"/>
          <w:szCs w:val="32"/>
        </w:rPr>
        <w:t xml:space="preserve"> </w:t>
      </w:r>
      <w:r>
        <w:rPr>
          <w:rFonts w:hint="eastAsia" w:ascii="仿宋_GB2312" w:hAnsi="宋体" w:eastAsia="仿宋_GB2312" w:cs="Courier New"/>
          <w:color w:val="auto"/>
          <w:sz w:val="32"/>
          <w:szCs w:val="32"/>
        </w:rPr>
        <w:t>附件</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年度部门预算表</w:t>
      </w:r>
    </w:p>
    <w:p>
      <w:pPr>
        <w:adjustRightInd w:val="0"/>
        <w:snapToGrid w:val="0"/>
        <w:spacing w:line="360" w:lineRule="auto"/>
        <w:rPr>
          <w:rFonts w:ascii="仿宋_GB2312" w:hAnsi="仿宋_GB2312" w:eastAsia="仿宋_GB2312" w:cs="仿宋_GB2312"/>
          <w:color w:val="auto"/>
          <w:sz w:val="32"/>
          <w:szCs w:val="32"/>
        </w:rPr>
        <w:sectPr>
          <w:headerReference r:id="rId3" w:type="default"/>
          <w:pgSz w:w="11906" w:h="16838"/>
          <w:pgMar w:top="1440" w:right="1080" w:bottom="1440" w:left="1080" w:header="851" w:footer="992" w:gutter="0"/>
          <w:cols w:space="425" w:num="1"/>
          <w:docGrid w:type="lines" w:linePitch="312" w:charSpace="0"/>
        </w:sectPr>
      </w:pPr>
      <w:r>
        <w:rPr>
          <w:color w:val="auto"/>
        </w:rPr>
        <w:pict>
          <v:shape id="_x0000_i1025" o:spt="75" type="#_x0000_t75" style="height:555.75pt;width:462.75pt;" filled="f" stroked="f" coordsize="21600,21600">
            <v:path/>
            <v:fill on="f" focussize="0,0"/>
            <v:stroke on="f"/>
            <v:imagedata r:id="rId5" o:title=""/>
            <o:lock v:ext="edit" aspectratio="t"/>
            <w10:wrap type="none"/>
            <w10:anchorlock/>
          </v:shape>
        </w:pic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38"/>
        <w:gridCol w:w="905"/>
        <w:gridCol w:w="936"/>
        <w:gridCol w:w="936"/>
        <w:gridCol w:w="936"/>
        <w:gridCol w:w="1046"/>
        <w:gridCol w:w="543"/>
        <w:gridCol w:w="653"/>
        <w:gridCol w:w="726"/>
        <w:gridCol w:w="506"/>
        <w:gridCol w:w="653"/>
        <w:gridCol w:w="579"/>
        <w:gridCol w:w="653"/>
        <w:gridCol w:w="524"/>
        <w:gridCol w:w="433"/>
        <w:gridCol w:w="579"/>
        <w:gridCol w:w="543"/>
        <w:gridCol w:w="653"/>
        <w:gridCol w:w="653"/>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gridSpan w:val="20"/>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0" w:type="auto"/>
            <w:gridSpan w:val="20"/>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2023年部门收入总体情况表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p>
        </w:tc>
        <w:tc>
          <w:tcPr>
            <w:tcW w:w="0" w:type="auto"/>
            <w:gridSpan w:val="18"/>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安阳市东风乡人民政府</w:t>
            </w:r>
          </w:p>
        </w:tc>
        <w:tc>
          <w:tcPr>
            <w:tcW w:w="0" w:type="auto"/>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0" w:type="auto"/>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w:t>
            </w:r>
          </w:p>
        </w:tc>
        <w:tc>
          <w:tcPr>
            <w:tcW w:w="0" w:type="auto"/>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其他收入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安阳市东风乡人民政府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407001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安阳市东风乡人民政府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r>
        <w:rPr>
          <w:color w:val="auto"/>
        </w:rPr>
        <w:pict>
          <v:shape id="_x0000_i1027" o:spt="75" type="#_x0000_t75" style="height:228.75pt;width:697.3pt;" filled="f" stroked="f" coordsize="21600,21600">
            <v:path/>
            <v:fill on="f" focussize="0,0"/>
            <v:stroke on="f"/>
            <v:imagedata r:id="rId6" o:title=""/>
            <o:lock v:ext="edit" aspectratio="t"/>
            <w10:wrap type="none"/>
            <w10:anchorlock/>
          </v:shape>
        </w:pict>
      </w: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56"/>
        <w:gridCol w:w="936"/>
        <w:gridCol w:w="3096"/>
        <w:gridCol w:w="936"/>
        <w:gridCol w:w="936"/>
        <w:gridCol w:w="1476"/>
        <w:gridCol w:w="1206"/>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0" w:type="auto"/>
            <w:gridSpan w:val="8"/>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2023年财政拨款收支总体情况表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p>
        </w:tc>
        <w:tc>
          <w:tcPr>
            <w:tcW w:w="0" w:type="auto"/>
            <w:gridSpan w:val="6"/>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安阳市东风乡人民政府</w:t>
            </w:r>
          </w:p>
        </w:tc>
        <w:tc>
          <w:tcPr>
            <w:tcW w:w="0" w:type="auto"/>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收入  </w:t>
            </w:r>
          </w:p>
        </w:tc>
        <w:tc>
          <w:tcPr>
            <w:tcW w:w="0" w:type="auto"/>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项 目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金　额</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项 目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一般公共预算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政府性基金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小计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一、本年收入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3,290.22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3,290.22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3,290.22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其中：财政拨款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二、上年结转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（七）文化体育旅游与传媒支出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106.09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106.09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106.09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（九）医疗卫生与计划生育支出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（十二）城乡社区事务支出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（十三）农林水事务支出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552.65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552.65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552.65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（十九）援助其他地区支出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（二十一）住房保障支出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（二十二）粮油物资储备支出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（二十三）国有资本经营预算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（二十四）灾害防治及应急管理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（二十七）预备费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（二十九）其他支出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（三十）转移性支出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（三十一）债务还本支出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（三十二）债务付息支出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（三十三）债务发行费用支出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（三十四）抗疫特别国债安排的支出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收入合计：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支出合计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4,115.21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r>
        <w:rPr>
          <w:color w:val="auto"/>
        </w:rPr>
        <w:pict>
          <v:shape id="_x0000_i1029" o:spt="75" type="#_x0000_t75" style="height:241.8pt;width:697.3pt;" filled="f" stroked="f" coordsize="21600,21600">
            <v:path/>
            <v:fill on="f" focussize="0,0"/>
            <v:stroke on="f"/>
            <v:imagedata r:id="rId7" o:title=""/>
            <o:lock v:ext="edit" aspectratio="t"/>
            <w10:wrap type="none"/>
            <w10:anchorlock/>
          </v:shape>
        </w:pict>
      </w: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bookmarkStart w:id="1" w:name="_GoBack"/>
      <w:bookmarkEnd w:id="1"/>
    </w:p>
    <w:p>
      <w:pPr>
        <w:adjustRightInd w:val="0"/>
        <w:snapToGrid w:val="0"/>
        <w:spacing w:line="360" w:lineRule="auto"/>
        <w:rPr>
          <w:rFonts w:ascii="仿宋_GB2312" w:hAnsi="仿宋_GB2312" w:eastAsia="仿宋_GB2312" w:cs="仿宋_GB2312"/>
          <w:color w:val="auto"/>
          <w:sz w:val="32"/>
          <w:szCs w:val="32"/>
        </w:rPr>
      </w:pPr>
    </w:p>
    <w:tbl>
      <w:tblPr>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45"/>
        <w:gridCol w:w="2460"/>
        <w:gridCol w:w="1845"/>
        <w:gridCol w:w="2460"/>
        <w:gridCol w:w="1845"/>
        <w:gridCol w:w="184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54" w:type="dxa"/>
            <w:gridSpan w:val="7"/>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14154"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2023年一般公共预算基本支出表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846"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p>
        </w:tc>
        <w:tc>
          <w:tcPr>
            <w:tcW w:w="10462"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安阳市东风乡人民政府</w:t>
            </w:r>
          </w:p>
        </w:tc>
        <w:tc>
          <w:tcPr>
            <w:tcW w:w="1846" w:type="dxa"/>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30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部门预算支出经济分类科目</w:t>
            </w:r>
          </w:p>
        </w:tc>
        <w:tc>
          <w:tcPr>
            <w:tcW w:w="430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政府预算支出经济分类科目编码</w:t>
            </w:r>
          </w:p>
        </w:tc>
        <w:tc>
          <w:tcPr>
            <w:tcW w:w="553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人员经费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2,292.90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1,460.69</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30103</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奖金</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工资奖金津补贴</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241.06</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241.06</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30302</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退休费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50905</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离退休费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36.90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36.90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30399</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其他对个人和家庭的补助</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50999</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其他对个人和家庭补助</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30102</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津贴补贴</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工资奖金津补贴</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157.07</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157.07</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30107</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绩效工资</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50501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工资福利支出</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94.64</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94.64</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公务员医疗补助缴费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39.85</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39.85</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30304</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抚恤金</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50901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社会福利和救助</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6.94</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6.94</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基本工资</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工资奖金津补贴</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550.56</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550.56</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30112</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其他社会保障缴费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1.33</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1.33</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30209</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物业管理费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差旅费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30299</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其他商品和服务支出</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50299</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其他商品和服务支出</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30231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公务用车运行维护费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50208</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公务用车运行维护费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30216</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培训费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50203</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培训费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30207</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邮电费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30229</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福利费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7.36</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30213</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维修(护)费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50209</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维修（护）费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30206</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电费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30202</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印刷费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30240</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税金及附加费用</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30226</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劳务费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50205</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委托业务费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30217</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公务接待费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50206</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公务接待费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30208</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取暖费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30239</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其他交通费用</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21.60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30228</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工会经费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9.75</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30214</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租赁费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30205</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30203</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咨询费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50205</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委托业务费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30108</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106.09</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106.09</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30110</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职工基本医疗保险缴费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50102</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社会保障缴费</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48.41</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48.41</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30113</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50103</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117.84</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117.84</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r>
        <w:rPr>
          <w:color w:val="auto"/>
        </w:rPr>
        <w:pict>
          <v:shape id="_x0000_i1031" o:spt="75" type="#_x0000_t75" style="height:477.35pt;width:697.2pt;" filled="f" stroked="f" coordsize="21600,21600">
            <v:path/>
            <v:fill on="f" focussize="0,0"/>
            <v:stroke on="f"/>
            <v:imagedata r:id="rId8" o:title=""/>
            <o:lock v:ext="edit" aspectratio="t"/>
            <w10:wrap type="none"/>
            <w10:anchorlock/>
          </v:shape>
        </w:pict>
      </w:r>
    </w:p>
    <w:p>
      <w:pPr>
        <w:adjustRightInd w:val="0"/>
        <w:snapToGrid w:val="0"/>
        <w:spacing w:line="360" w:lineRule="auto"/>
        <w:rPr>
          <w:rFonts w:ascii="仿宋_GB2312" w:hAnsi="仿宋_GB2312" w:eastAsia="仿宋_GB2312" w:cs="仿宋_GB2312"/>
          <w:color w:val="auto"/>
          <w:sz w:val="32"/>
          <w:szCs w:val="32"/>
        </w:rPr>
      </w:pPr>
      <w:r>
        <w:rPr>
          <w:color w:val="auto"/>
        </w:rPr>
        <w:pict>
          <v:shape id="_x0000_i1032" o:spt="75" type="#_x0000_t75" style="height:170.55pt;width:697.85pt;" filled="f" stroked="f" coordsize="21600,21600">
            <v:path/>
            <v:fill on="f" focussize="0,0"/>
            <v:stroke on="f"/>
            <v:imagedata r:id="rId9" o:title=""/>
            <o:lock v:ext="edit" aspectratio="t"/>
            <w10:wrap type="none"/>
            <w10:anchorlock/>
          </v:shape>
        </w:pict>
      </w: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color w:val="auto"/>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r>
        <w:rPr>
          <w:color w:val="auto"/>
        </w:rPr>
        <w:pict>
          <v:shape id="_x0000_i1033" o:spt="75" type="#_x0000_t75" style="height:184.9pt;width:697.75pt;" filled="f" stroked="f" coordsize="21600,21600">
            <v:path/>
            <v:fill on="f" focussize="0,0"/>
            <v:stroke on="f"/>
            <v:imagedata r:id="rId10" o:title=""/>
            <o:lock v:ext="edit" aspectratio="t"/>
            <w10:wrap type="none"/>
            <w10:anchorlock/>
          </v:shape>
        </w:pict>
      </w: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color w:val="auto"/>
        </w:rPr>
        <w:sectPr>
          <w:pgSz w:w="16838" w:h="11906" w:orient="landscape"/>
          <w:pgMar w:top="1077" w:right="1440" w:bottom="1077" w:left="1440" w:header="851" w:footer="992" w:gutter="0"/>
          <w:cols w:space="425" w:num="1"/>
          <w:docGrid w:type="linesAndChars" w:linePitch="312" w:charSpace="0"/>
        </w:sectPr>
      </w:pPr>
      <w:r>
        <w:rPr>
          <w:color w:val="auto"/>
        </w:rPr>
        <w:pict>
          <v:shape id="_x0000_i1034" o:spt="75" type="#_x0000_t75" style="height:540.2pt;width:697.3pt;" filled="f" stroked="f" coordsize="21600,21600">
            <v:path/>
            <v:fill on="f" focussize="0,0"/>
            <v:stroke on="f"/>
            <v:imagedata r:id="rId11" o:title=""/>
            <o:lock v:ext="edit" aspectratio="t"/>
            <w10:wrap type="none"/>
            <w10:anchorlock/>
          </v:shape>
        </w:pict>
      </w:r>
    </w:p>
    <w:tbl>
      <w:tblPr>
        <w:tblStyle w:val="6"/>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48"/>
        <w:gridCol w:w="2197"/>
        <w:gridCol w:w="1172"/>
        <w:gridCol w:w="3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38"/>
                <w:szCs w:val="38"/>
                <w:u w:val="none"/>
              </w:rPr>
            </w:pPr>
            <w:r>
              <w:rPr>
                <w:rFonts w:ascii="宋体" w:hAnsi="宋体" w:eastAsia="宋体" w:cs="宋体"/>
                <w:b/>
                <w:bCs/>
                <w:i w:val="0"/>
                <w:iCs w:val="0"/>
                <w:color w:val="auto"/>
                <w:kern w:val="0"/>
                <w:sz w:val="38"/>
                <w:szCs w:val="38"/>
                <w:u w:val="none"/>
                <w:lang w:val="en-US" w:eastAsia="zh-CN" w:bidi="ar"/>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24"/>
                <w:szCs w:val="24"/>
                <w:u w:val="none"/>
              </w:rPr>
            </w:pPr>
            <w:r>
              <w:rPr>
                <w:rFonts w:ascii="宋体" w:hAnsi="宋体" w:eastAsia="宋体" w:cs="宋体"/>
                <w:b/>
                <w:bCs/>
                <w:i w:val="0"/>
                <w:iCs w:val="0"/>
                <w:color w:val="auto"/>
                <w:kern w:val="0"/>
                <w:sz w:val="24"/>
                <w:szCs w:val="24"/>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部门（单位）名称  </w:t>
            </w:r>
          </w:p>
        </w:tc>
        <w:tc>
          <w:tcPr>
            <w:tcW w:w="6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安阳市东风乡人民政府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党委政府深入贯彻学习二十大精神，紧紧围绕“保工资运转、保民生、保重点项目”等促进经济发展的总体工作思路，以民生民本为重点，开展乡村振兴、蓝天工程、创文创卫战略，统筹各项事业发展，以安全维稳为重点，切实保障社会和谐稳定，加快推进基础设施建设，权利打造和谐美丽乡村建设，促进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保障全乡镇在职及退休人员活动经费及全乡正常运转经费</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保障全乡130人工资，机关单位正常办公运转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保障村级经费运转</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全乡振33个人自然村运转经费及村干部报酬、基层组织活动及公共服务正常运转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保障其他公共服务支出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按体制调整，保障乡村振兴、环保等重点项目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壮大集体经济</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1、扶持绿色种植，发展绿色大棚；2、置度、寺沟、吉党搬迁后，大力招商引资，壮大集体经济。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持续优化人居环境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1、呈现“一村一景”，处处是景，开展城乡环境综合治理和精神文明建设，建设秀美乡村。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部门预算总额（万元）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1、资金来源：（1）政府预算资金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2、资金结构：（1）基本支出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2,292.90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1,822.31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相关</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完整</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真实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合规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健全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绩效管理  </w:t>
            </w:r>
          </w:p>
        </w:tc>
        <w:tc>
          <w:tcPr>
            <w:tcW w:w="21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部门（单位）按要求编制绩效目标的项目数量占应编制绩效目标项目总数的比重。部门目标编制完成率=已完成绩效目标编制项目数量/部门应编制绩效目标项目总数*100%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产出指标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保障其他公共服务支出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保障村级经费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目标完成时间</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2023年底</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效益指标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农民增收人次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招商项目</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≥5个</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可持续影响</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政府服务职能增强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 xml:space="preserve"> 群众满意度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bl>
    <w:p>
      <w:pPr>
        <w:adjustRightInd w:val="0"/>
        <w:snapToGrid w:val="0"/>
        <w:spacing w:line="360" w:lineRule="auto"/>
        <w:rPr>
          <w:color w:val="auto"/>
        </w:rPr>
      </w:pPr>
    </w:p>
    <w:p>
      <w:pPr>
        <w:adjustRightInd w:val="0"/>
        <w:snapToGrid w:val="0"/>
        <w:spacing w:line="360" w:lineRule="auto"/>
        <w:rPr>
          <w:color w:val="auto"/>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pPr>
    </w:p>
    <w:p>
      <w:pPr>
        <w:adjustRightInd w:val="0"/>
        <w:snapToGrid w:val="0"/>
        <w:spacing w:line="360" w:lineRule="auto"/>
        <w:rPr>
          <w:rFonts w:ascii="仿宋_GB2312" w:hAnsi="仿宋_GB2312" w:eastAsia="仿宋_GB2312" w:cs="仿宋_GB2312"/>
          <w:color w:val="auto"/>
          <w:sz w:val="32"/>
          <w:szCs w:val="32"/>
        </w:rPr>
        <w:sectPr>
          <w:pgSz w:w="11906" w:h="16838"/>
          <w:pgMar w:top="1440" w:right="1077" w:bottom="1440" w:left="1077" w:header="851" w:footer="992" w:gutter="0"/>
          <w:cols w:space="425" w:num="1"/>
          <w:docGrid w:type="linesAndChars" w:linePitch="312" w:charSpace="0"/>
        </w:sect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06"/>
        <w:gridCol w:w="956"/>
        <w:gridCol w:w="936"/>
        <w:gridCol w:w="1006"/>
        <w:gridCol w:w="644"/>
        <w:gridCol w:w="502"/>
        <w:gridCol w:w="785"/>
        <w:gridCol w:w="1016"/>
        <w:gridCol w:w="1408"/>
        <w:gridCol w:w="988"/>
        <w:gridCol w:w="1072"/>
        <w:gridCol w:w="800"/>
        <w:gridCol w:w="1178"/>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2023年部门预算项目绩效目标汇总表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p>
        </w:tc>
        <w:tc>
          <w:tcPr>
            <w:tcW w:w="0" w:type="auto"/>
            <w:gridSpan w:val="1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安阳市东风乡人民政府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单位编码（项目编码）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项目单位 （项目名称）</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项目金额（万元）</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成本指标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产出指标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效益指标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资金总额</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1,822.31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1,822.31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407001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安阳市东风乡人民政府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1,822.31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1,822.31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410506230000000005265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信访经费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信访救助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保障村数量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社会稳定性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更加稳定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辖区群众满意度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接访经费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信访问题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明显减少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信访应急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保障年份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其他经费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410506230000000005280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东风乡纪检工作经费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监察信息员成本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监督检查覆盖率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提高行政运行效果的影响程度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基层群众满意度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健全基层监督体系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检察发现问题整改落实率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被监督检查单位满意度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车辆保障成本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完层基层监督体系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提高基层监督绩效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监察信息人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车辆数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监督检查完成时间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监督检查程序规范性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提高基层纪检监察力度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监督检查单位数量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33行政自然村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410506230000000005323</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2023村级经费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119.35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119.35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村干部报酬及村级运行费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572万元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村级运转、办公经费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村民幸福指数提升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村民满意度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运转经费村数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村民人居环境治理提升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人均工资发放到位率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2023年全年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村干部工资发放人数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410506230000000005327</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（扶贫）乡村振兴经费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198.00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198.00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人居环境-农作物垃圾清理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村庄绿化覆盖率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乡村清洁度得以改善度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村民满意度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4个示范村建设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示范区建设效益</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29个村容村貌建设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项目验收及时性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村庄污水得到处理的比例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村民生活垃圾无害化处理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村容村貌提升度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村庄绿化覆盖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生活污水处理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生活垃圾无害化处理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示范村标准化建设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4行政自然村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行政村环境综合整治完成率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410506230000000005348</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环保经费—污水等</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198.00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198.00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管网疏通成本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项目完成及时性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改善城市环境，增强防洪抗汛能力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受益群众满意度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防汛成本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增强灌溉面积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≥3500亩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污水设施保障成本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疏通管网量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≥120千米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清淤成本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防汛事故发生率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河道清淤量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≥120立方米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管网及河道流水畅通性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410506230000000005354</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东风乡环保经费—清理垃圾</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198.00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198.00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垃圾清理运输费用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对各种垃圾车及设备的日常维护 ≥ 90 % 机械租赁次数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垃圾清运车尾气排放达标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辖区内居民满意度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购买垃圾袋及垃圾箱费用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清理垃圾面积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  立方米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辖区内环境卫生水平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提升辖区内市容市貌，提高居民的生活品质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机械租赁费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辖区内垃圾清运率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对各种垃圾车及设备的日常维护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垃圾处置的及时性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垃圾清理完成率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410506230000000005360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东风乡环保经费—围挡等</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机械费成本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工程围挡工作量吨数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创造优美环境效益</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覆盖地区群众满意度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工程围挡成本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污染程度减轻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招商引资环境改善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间接使用者满意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黑纱成本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工程围挡需用量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≥8000平方米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周边群众生活环境质量得以提高程度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散乱污企业关闭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带动招商引资效益</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工程围挡工作量完成时间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创造优美环境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清理垃圾机械费完成时间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生态环境污染改善</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工程围挡完成时间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机械费次数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黑纱用量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黑纱覆盖完成时间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裸露工地减少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410506230000000005363</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购买办公设备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按时完成率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提高工作效率程度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单位职工满意度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更新办公设备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保障正常办公运行水平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410506230000000005618</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应急消防</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应急宣传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辖区内宣传覆盖率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辖区内经济</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辖区内群众满意度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消防宣传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制作版面、条幅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辖区内群众安全感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宣传覆盖年限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410506230000000005621</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人大工作经费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宣传版面费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人大代表参会数量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辖区内党员满意度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人大代表满意度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版面条幅数量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人代会费用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健全人大运转体系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保障人大运转年限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人大运转规范性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410506230000000005627</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综治工作经费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其他应急类经费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维修监控数量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辖区内群众认可度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辖区内群众满意度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宣传经费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保障村数量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辖区内生活安全等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监控维修</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保障年份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2023年全年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制作条幅标语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410506230000000005628</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防疫工作经费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防疫经费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辖区防疫工作覆盖率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辖区内经济</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保障年限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辖区内群众认可度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保障村数量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410506230000000027504</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2023年村级经费对个人补贴</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452.65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452.65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对个人补贴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452.65万元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补贴发放时间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及时拨付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 xml:space="preserve">  村民幸福指数提升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村民满意度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补贴发放到位率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村民人居环境治理提升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补贴村数量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补贴发放人数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410506230000000028715</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乡镇政协委员活动工作经费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补助标准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资金到位率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受益人群幸福感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资金拨付时间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及时拨付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补助落实情况</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较好落实</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发放补助人数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慰问人数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410506230000000031130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2022年结转资金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146.41</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146.41</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上年结转工作经费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146.4127万元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资金拨付准确率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机关干部工作积极性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干部群众满意度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保障村级数量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辖区内经济水平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稳定增长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保障单位数量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资金拨付时间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410506230000000016869</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2023年AK替代设备购置经费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11.90</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采购成本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11.9万元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采购AK替代设备数量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完成AK替代，提高工作效率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职工满意度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采购质量合格率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color w:val="auto"/>
          <w:sz w:val="32"/>
          <w:szCs w:val="32"/>
        </w:rPr>
      </w:pP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yZjQ1NGY3ODFkOGI5MGQxYWFiN2NiMmY1NjkyNWMifQ=="/>
  </w:docVars>
  <w:rsids>
    <w:rsidRoot w:val="006B7E0B"/>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5532A0D"/>
    <w:rsid w:val="14B962E5"/>
    <w:rsid w:val="189C68A9"/>
    <w:rsid w:val="1AA05907"/>
    <w:rsid w:val="1AA556D9"/>
    <w:rsid w:val="1E107DD1"/>
    <w:rsid w:val="2BC2096A"/>
    <w:rsid w:val="2C35005E"/>
    <w:rsid w:val="2CB847EB"/>
    <w:rsid w:val="2E112405"/>
    <w:rsid w:val="2E5859B2"/>
    <w:rsid w:val="2FC73D1B"/>
    <w:rsid w:val="3171432E"/>
    <w:rsid w:val="33EF31E8"/>
    <w:rsid w:val="35610116"/>
    <w:rsid w:val="3B007A89"/>
    <w:rsid w:val="3C2E77D4"/>
    <w:rsid w:val="3EBF7D18"/>
    <w:rsid w:val="3FEC3BE7"/>
    <w:rsid w:val="43D62EB7"/>
    <w:rsid w:val="46224CD0"/>
    <w:rsid w:val="49290AF3"/>
    <w:rsid w:val="4B911B6E"/>
    <w:rsid w:val="54A35BFD"/>
    <w:rsid w:val="55ED6C72"/>
    <w:rsid w:val="5B131D9A"/>
    <w:rsid w:val="5F40234E"/>
    <w:rsid w:val="60D03523"/>
    <w:rsid w:val="72BA4DCB"/>
    <w:rsid w:val="79111DCE"/>
    <w:rsid w:val="795D3D1D"/>
    <w:rsid w:val="7CF33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Calibri" w:hAnsi="Calibri" w:eastAsia="宋体" w:cs="Times New Roman"/>
      <w:sz w:val="18"/>
      <w:szCs w:val="18"/>
    </w:rPr>
  </w:style>
  <w:style w:type="character" w:customStyle="1" w:styleId="9">
    <w:name w:val="页脚 Char"/>
    <w:link w:val="4"/>
    <w:qFormat/>
    <w:locked/>
    <w:uiPriority w:val="99"/>
    <w:rPr>
      <w:rFonts w:ascii="Calibri" w:hAnsi="Calibri" w:eastAsia="宋体" w:cs="Times New Roman"/>
      <w:sz w:val="18"/>
      <w:szCs w:val="18"/>
    </w:rPr>
  </w:style>
  <w:style w:type="character" w:customStyle="1" w:styleId="10">
    <w:name w:val="页眉 Char"/>
    <w:link w:val="5"/>
    <w:qFormat/>
    <w:locked/>
    <w:uiPriority w:val="99"/>
    <w:rPr>
      <w:rFonts w:ascii="Calibri" w:hAnsi="Calibri" w:eastAsia="宋体" w:cs="Times New Roman"/>
      <w:sz w:val="18"/>
      <w:szCs w:val="18"/>
    </w:rPr>
  </w:style>
  <w:style w:type="character" w:customStyle="1" w:styleId="11">
    <w:name w:val="纯文本 Char"/>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3021</Words>
  <Characters>3300</Characters>
  <Lines>30</Lines>
  <Paragraphs>8</Paragraphs>
  <TotalTime>12</TotalTime>
  <ScaleCrop>false</ScaleCrop>
  <LinksUpToDate>false</LinksUpToDate>
  <CharactersWithSpaces>3472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财政所</cp:lastModifiedBy>
  <cp:lastPrinted>2023-07-13T08:09:06Z</cp:lastPrinted>
  <dcterms:modified xsi:type="dcterms:W3CDTF">2023-07-13T08:12:26Z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97D0D5BCA2FF4A6CBD5543D35C04A45B</vt:lpwstr>
  </property>
</Properties>
</file>