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马投涧镇人民政府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23年度部门预算公开说明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2023年7月 15 日</w:t>
      </w: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23年度部门预算情况说明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一、部门收支总体情况说明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二、部门收入总体情况说明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三、部门支出总体情况说明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四、财政拨款收支总体情况说明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六、一般公共预算基本支出情况说明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七、一般公共预算“三公”经费支出预算情况说明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八、政府性基金预算支出情况说明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九、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23年度部门预算表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</w:rPr>
        <w:t>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</w:rPr>
        <w:t>项目支出预算表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十一、部门整体绩效目标表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十二、部门预算项目绩效目标表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ascii="仿宋" w:hAnsi="仿宋" w:eastAsia="仿宋" w:cs="仿宋"/>
          <w:sz w:val="30"/>
          <w:szCs w:val="30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部门概</w:t>
      </w:r>
      <w:r>
        <w:rPr>
          <w:rFonts w:hint="eastAsia" w:ascii="黑体" w:hAnsi="黑体" w:eastAsia="黑体"/>
          <w:sz w:val="40"/>
          <w:szCs w:val="32"/>
        </w:rPr>
        <w:t>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部门主要职责</w:t>
      </w:r>
    </w:p>
    <w:p>
      <w:pPr>
        <w:pStyle w:val="6"/>
        <w:widowControl/>
        <w:snapToGrid w:val="0"/>
        <w:spacing w:before="246" w:line="600" w:lineRule="atLeast"/>
        <w:ind w:firstLine="600"/>
        <w:jc w:val="both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主要职能：河南省安阳市龙安区马投涧镇人民政府是一级预算单位，单位基本性质为其他单位，执行行政单位会计制度。坚决贯彻执行党的路线、方针、政策，教育和管理全镇干部群众，抓好经济建设，维护社会稳定；本行政区域内的经济和社会发展计划、预算，管理本行政区域内的经济、教育、科学、文化、卫生和财政、民政、计划生育等行政工作完成区委、区政府交给的其他工作任务。</w:t>
      </w:r>
    </w:p>
    <w:p>
      <w:pPr>
        <w:pStyle w:val="6"/>
        <w:widowControl/>
        <w:snapToGrid w:val="0"/>
        <w:spacing w:before="246" w:line="600" w:lineRule="atLeast"/>
        <w:ind w:firstLine="600"/>
        <w:jc w:val="both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机构人员情况:共有正式在编在职职工80</w:t>
      </w:r>
      <w:r>
        <w:rPr>
          <w:rFonts w:hint="eastAsia" w:ascii="仿宋" w:hAnsi="仿宋" w:eastAsia="仿宋_GB2312"/>
          <w:kern w:val="2"/>
          <w:sz w:val="32"/>
          <w:szCs w:val="32"/>
        </w:rPr>
        <w:t> 人,其中财政行政全供 24 ,财政工勤全供 4 人,财政事业全供  52人,特岗4人.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部门预</w:t>
      </w:r>
      <w:r>
        <w:rPr>
          <w:rFonts w:hint="eastAsia" w:ascii="宋体" w:hAnsi="宋体"/>
          <w:b/>
          <w:sz w:val="32"/>
          <w:szCs w:val="32"/>
        </w:rPr>
        <w:t>算单位构成</w:t>
      </w:r>
    </w:p>
    <w:p>
      <w:pPr>
        <w:pStyle w:val="2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本部门预算包括机关本级预算和下级所属单位预算。本部门预算为汇总预算，有二级机构个。纳入2023年度部门预算编报范围的预算单位如下：</w:t>
      </w:r>
    </w:p>
    <w:p>
      <w:pPr>
        <w:pStyle w:val="2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1、马投涧镇人民政府本级</w:t>
      </w:r>
    </w:p>
    <w:p>
      <w:pPr>
        <w:pStyle w:val="2"/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614" w:firstLineChars="900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23年度部门预算情况说明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一、部门收支总体情况说明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23年收入总计4012.88万元，支出总计4012.88万元，与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22年相比，收入增加12.88万元,支出增加315.18万元.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二、部门收入总体情况说明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Times New Roman" w:eastAsia="仿宋_GB2312"/>
          <w:sz w:val="32"/>
          <w:szCs w:val="32"/>
        </w:rPr>
        <w:t>年收入合计4012.88万元，</w:t>
      </w:r>
      <w:r>
        <w:rPr>
          <w:rFonts w:hint="eastAsia" w:ascii="仿宋_GB2312" w:eastAsia="仿宋_GB2312"/>
          <w:sz w:val="32"/>
          <w:szCs w:val="32"/>
        </w:rPr>
        <w:t>其中：一般公共预算3997.88万元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hAnsi="Times New Roman" w:eastAsia="仿宋_GB2312"/>
          <w:sz w:val="32"/>
          <w:szCs w:val="32"/>
        </w:rPr>
        <w:t>政府性基金收入15万元；专户管理的教育收费0万元；国有资本经营预算收入0万元；事业收入0万元；经营收入0万元；其他收入0万元。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三、部门支出总体情况说明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宋体" w:eastAsia="仿宋_GB2312" w:cs="Courier New"/>
          <w:sz w:val="32"/>
          <w:szCs w:val="32"/>
        </w:rPr>
        <w:t>年支出合计4012.88万元，其中：基本支出3000万元，占75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；项目支出1012.88万元，占25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年一般公共预算收支预算3997.88万元，政府性基金收支预算15万元。与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22年相比，一般公共预算收支预算300.18万元，增长8%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，政府性基金收支预算增加</w:t>
      </w:r>
      <w:r>
        <w:rPr>
          <w:rFonts w:hint="eastAsia" w:ascii="仿宋_GB2312" w:eastAsia="仿宋_GB2312"/>
          <w:b/>
          <w:sz w:val="32"/>
          <w:szCs w:val="32"/>
        </w:rPr>
        <w:t>15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万元。主要原因：2022年扶持村集体经济项目</w:t>
      </w:r>
      <w:r>
        <w:rPr>
          <w:rFonts w:hint="eastAsia" w:ascii="仿宋_GB2312" w:eastAsia="仿宋_GB2312"/>
          <w:sz w:val="32"/>
          <w:szCs w:val="32"/>
        </w:rPr>
        <w:t>标准化厂房省级资金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年一般公共预算支出年初预算为3997.88万元，其中：基本支出3000万元，占75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；项目支出997.88万元，占25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年一般公共预算基本支出年初预算为万元3000，其中：人员经费1912.23万元，占64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；公用经费1087.77万元，占36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七、一般公共预算“三公”经费支出情况说明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我部门2023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年“三公”经费预算为42万元。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23年“三公”经费支出预算数比持平。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22年相比持平。主要原因：单位无此类业务。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（二）公务用车购置及运行费22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元，其中，公务用车购置费0万元；公务用车运行维护费22万元，主要用于开展工作所需公务用车的燃料费、维修费、过路过桥费、保险费、安全奖励费用等支出。公务用车购置费预算数与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22年相比持平。公务用车运行维护费预算数比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22年持平。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（三）公务接待费20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22年持平。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我部门2023年政府性基金预算安排支出15万元，</w:t>
      </w:r>
      <w:r>
        <w:rPr>
          <w:rFonts w:hint="eastAsia" w:ascii="仿宋_GB2312" w:hAnsi="宋体" w:eastAsia="仿宋_GB2312" w:cs="Courier New"/>
          <w:sz w:val="32"/>
          <w:szCs w:val="32"/>
        </w:rPr>
        <w:t>其中：基本支出0万元，占0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；项目支出15万元，占100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九、上年结转情况说明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我部门2022年上年结转资金</w:t>
      </w:r>
      <w:r>
        <w:rPr>
          <w:rFonts w:hint="eastAsia" w:ascii="仿宋_GB2312" w:eastAsia="仿宋_GB2312"/>
          <w:sz w:val="32"/>
          <w:szCs w:val="32"/>
        </w:rPr>
        <w:t>为0万</w:t>
      </w:r>
      <w:r>
        <w:rPr>
          <w:rFonts w:hint="eastAsia" w:ascii="仿宋_GB2312" w:eastAsia="仿宋_GB2312"/>
          <w:bCs/>
          <w:sz w:val="32"/>
          <w:szCs w:val="32"/>
        </w:rPr>
        <w:t>元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both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  <w:lang w:eastAsia="zh-CN"/>
        </w:rPr>
        <w:t>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宋体" w:eastAsia="仿宋_GB2312" w:cs="Courier New"/>
          <w:sz w:val="32"/>
          <w:szCs w:val="32"/>
        </w:rPr>
        <w:t>年机关运行经费支出预算1087.77万元，</w:t>
      </w:r>
      <w:r>
        <w:rPr>
          <w:rFonts w:hint="eastAsia" w:ascii="仿宋_GB2312" w:eastAsia="仿宋_GB2312"/>
          <w:sz w:val="32"/>
          <w:szCs w:val="32"/>
        </w:rPr>
        <w:t>主要保障机构正常运行及正常履职需要所需支出，包括公用经费、公务交通补贴、工会经费、职工福利等。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23年政府采购预算安排30.2万元，其中：政府采购货物预算30.2万元、政府采购工程预算0万元、政府采购服务预算0万元。</w:t>
      </w:r>
    </w:p>
    <w:p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highlight w:val="yellow"/>
        </w:rPr>
        <w:t>部门2023年预算项目分别从项目产出、项目效益、项目满意度等方面设立了绩效目标，综合反映了预算的数量、质量，社会经济效益、可持续影响及服务对象满意度等情况。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22年末，我部门共有车辆</w:t>
      </w:r>
      <w:r>
        <w:rPr>
          <w:rFonts w:hint="eastAsia" w:ascii="仿宋_GB2312" w:eastAsia="仿宋_GB2312"/>
          <w:color w:val="FF0000"/>
          <w:sz w:val="32"/>
          <w:szCs w:val="32"/>
        </w:rPr>
        <w:t>15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辆，其中：一般公务用5车辆、一般执法执勤用车</w:t>
      </w:r>
      <w:r>
        <w:rPr>
          <w:rFonts w:hint="eastAsia" w:ascii="仿宋_GB2312" w:eastAsia="仿宋_GB2312"/>
          <w:color w:val="FF0000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color w:val="FF0000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color w:val="FF0000"/>
          <w:sz w:val="32"/>
          <w:szCs w:val="32"/>
        </w:rPr>
        <w:t>10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辆，其他用车主要是历史遗留问题,目前车辆已不存在但无法做账务处理；单价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eastAsia="仿宋_GB2312"/>
          <w:color w:val="FF0000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（套）</w:t>
      </w:r>
      <w:r>
        <w:rPr>
          <w:rFonts w:hint="eastAsia" w:ascii="仿宋_GB2312" w:hAnsi="宋体" w:eastAsia="仿宋_GB2312" w:cs="Courier New"/>
          <w:sz w:val="32"/>
          <w:szCs w:val="32"/>
        </w:rPr>
        <w:t>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eastAsia="仿宋_GB2312"/>
          <w:color w:val="FF0000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（套）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马投涧镇人民政府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2023年没有专项转移支付项目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5772150" cy="615569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7231" cy="616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945880" cy="2372995"/>
            <wp:effectExtent l="19050" t="0" r="7606" b="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7711" cy="237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863330" cy="334391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858250" cy="620458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0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863330" cy="334391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7807325" cy="6280785"/>
            <wp:effectExtent l="19050" t="0" r="2721" b="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6832" cy="62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859520" cy="61722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17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534400" cy="20574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863330" cy="202692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0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273415" cy="535559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3415" cy="535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tbl>
      <w:tblPr>
        <w:tblStyle w:val="7"/>
        <w:tblW w:w="1459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38"/>
        <w:gridCol w:w="1738"/>
        <w:gridCol w:w="1738"/>
        <w:gridCol w:w="1738"/>
        <w:gridCol w:w="1738"/>
        <w:gridCol w:w="1738"/>
        <w:gridCol w:w="691"/>
        <w:gridCol w:w="1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部门上年结转资金表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功能分类编码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政府经济科目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经济分类编码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功能分类名称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预算单位编码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预算单位名称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预算项目名称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资金性质名称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38"/>
          <w:szCs w:val="38"/>
        </w:rPr>
      </w:pPr>
      <w:r>
        <w:rPr>
          <w:rFonts w:hint="eastAsia" w:ascii="宋体" w:hAnsi="宋体" w:cs="宋体"/>
          <w:b/>
          <w:bCs/>
          <w:color w:val="000000"/>
          <w:kern w:val="0"/>
          <w:sz w:val="38"/>
          <w:szCs w:val="38"/>
        </w:rPr>
        <w:t>本单位没有部门上年结转资金</w:t>
      </w:r>
    </w:p>
    <w:p>
      <w:pPr>
        <w:adjustRightInd w:val="0"/>
        <w:snapToGrid w:val="0"/>
        <w:spacing w:line="360" w:lineRule="auto"/>
        <w:rPr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850630" cy="6126480"/>
            <wp:effectExtent l="19050" t="0" r="7620" b="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6755" cy="613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color w:val="FF0000"/>
          <w:sz w:val="32"/>
          <w:szCs w:val="32"/>
        </w:rPr>
        <w:drawing>
          <wp:inline distT="0" distB="0" distL="0" distR="0">
            <wp:extent cx="8850630" cy="6257925"/>
            <wp:effectExtent l="19050" t="0" r="7620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063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color w:val="FF0000"/>
          <w:sz w:val="32"/>
          <w:szCs w:val="32"/>
        </w:rPr>
        <w:drawing>
          <wp:inline distT="0" distB="0" distL="0" distR="0">
            <wp:extent cx="9267825" cy="6191250"/>
            <wp:effectExtent l="19050" t="0" r="9525" b="0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8743950" cy="2724150"/>
            <wp:effectExtent l="19050" t="0" r="0" b="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color w:val="FF0000"/>
          <w:sz w:val="32"/>
          <w:szCs w:val="32"/>
        </w:rPr>
        <w:drawing>
          <wp:inline distT="0" distB="0" distL="0" distR="0">
            <wp:extent cx="9115425" cy="6191250"/>
            <wp:effectExtent l="19050" t="0" r="9525" b="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ZlODMzZGYxODk5NmFlMzE0MmUwNjkwNTZiNzQ0NzQifQ=="/>
  </w:docVars>
  <w:rsids>
    <w:rsidRoot w:val="006B7E0B"/>
    <w:rsid w:val="00023FCB"/>
    <w:rsid w:val="00026E9A"/>
    <w:rsid w:val="000336F3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A5DFF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97F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B39DE"/>
    <w:rsid w:val="002C2A80"/>
    <w:rsid w:val="002C5AAE"/>
    <w:rsid w:val="002E3BE4"/>
    <w:rsid w:val="002E4313"/>
    <w:rsid w:val="002F22D2"/>
    <w:rsid w:val="002F3BB6"/>
    <w:rsid w:val="00323FD0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23D2A"/>
    <w:rsid w:val="00432539"/>
    <w:rsid w:val="00451611"/>
    <w:rsid w:val="0047756A"/>
    <w:rsid w:val="00494F22"/>
    <w:rsid w:val="00495611"/>
    <w:rsid w:val="00495CEB"/>
    <w:rsid w:val="00496B7C"/>
    <w:rsid w:val="004974DC"/>
    <w:rsid w:val="00497B3A"/>
    <w:rsid w:val="004A35D2"/>
    <w:rsid w:val="004A4265"/>
    <w:rsid w:val="004A7AF2"/>
    <w:rsid w:val="004B1819"/>
    <w:rsid w:val="004C001F"/>
    <w:rsid w:val="004C13EB"/>
    <w:rsid w:val="004D5B4E"/>
    <w:rsid w:val="004E167D"/>
    <w:rsid w:val="004F068A"/>
    <w:rsid w:val="004F1BCB"/>
    <w:rsid w:val="004F238D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3292"/>
    <w:rsid w:val="0073591F"/>
    <w:rsid w:val="00737950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5C30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9D4B06"/>
    <w:rsid w:val="009F1C7F"/>
    <w:rsid w:val="00A216E6"/>
    <w:rsid w:val="00A330EC"/>
    <w:rsid w:val="00A34341"/>
    <w:rsid w:val="00A35A79"/>
    <w:rsid w:val="00A424AC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5A6"/>
    <w:rsid w:val="00B10D6F"/>
    <w:rsid w:val="00B20C5F"/>
    <w:rsid w:val="00B21967"/>
    <w:rsid w:val="00B52965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08AB"/>
    <w:rsid w:val="00CA2F8F"/>
    <w:rsid w:val="00CA7ADA"/>
    <w:rsid w:val="00CB5AAE"/>
    <w:rsid w:val="00CB6DF5"/>
    <w:rsid w:val="00CD03AD"/>
    <w:rsid w:val="00CE3259"/>
    <w:rsid w:val="00CF1B5A"/>
    <w:rsid w:val="00CF4BB9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D58B0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5532A0D"/>
    <w:rsid w:val="14B962E5"/>
    <w:rsid w:val="189C68A9"/>
    <w:rsid w:val="1AA05907"/>
    <w:rsid w:val="1AA556D9"/>
    <w:rsid w:val="1E107DD1"/>
    <w:rsid w:val="2BC2096A"/>
    <w:rsid w:val="2C35005E"/>
    <w:rsid w:val="2CB847EB"/>
    <w:rsid w:val="2E112405"/>
    <w:rsid w:val="2E5859B2"/>
    <w:rsid w:val="2FC73D1B"/>
    <w:rsid w:val="3171432E"/>
    <w:rsid w:val="33EF31E8"/>
    <w:rsid w:val="35610116"/>
    <w:rsid w:val="365B077E"/>
    <w:rsid w:val="3B007A89"/>
    <w:rsid w:val="3C7C763C"/>
    <w:rsid w:val="3EBF7D18"/>
    <w:rsid w:val="3FEC3BE7"/>
    <w:rsid w:val="43D62EB7"/>
    <w:rsid w:val="49290AF3"/>
    <w:rsid w:val="4B911B6E"/>
    <w:rsid w:val="54A35BFD"/>
    <w:rsid w:val="55ED6C72"/>
    <w:rsid w:val="5B131D9A"/>
    <w:rsid w:val="72BA4DCB"/>
    <w:rsid w:val="79111DCE"/>
    <w:rsid w:val="795D3D1D"/>
    <w:rsid w:val="7CF33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jc w:val="left"/>
    </w:pPr>
    <w:rPr>
      <w:rFonts w:ascii="Times New Roman" w:hAnsi="Times New Roman"/>
      <w:kern w:val="0"/>
      <w:sz w:val="24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emf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3FCF-9802-4E95-8DAA-A4D1CB209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2966</Words>
  <Characters>3237</Characters>
  <Lines>4</Lines>
  <Paragraphs>6</Paragraphs>
  <TotalTime>1</TotalTime>
  <ScaleCrop>false</ScaleCrop>
  <LinksUpToDate>false</LinksUpToDate>
  <CharactersWithSpaces>3292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Administrator</cp:lastModifiedBy>
  <cp:lastPrinted>2021-04-16T07:34:00Z</cp:lastPrinted>
  <dcterms:modified xsi:type="dcterms:W3CDTF">2023-07-18T14:23:40Z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97D0D5BCA2FF4A6CBD5543D35C04A45B</vt:lpwstr>
  </property>
</Properties>
</file>