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ascii="方正小标宋简体" w:hAnsi="Times New Roman" w:eastAsia="方正小标宋简体"/>
          <w:b/>
          <w:sz w:val="72"/>
          <w:szCs w:val="72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/>
          <w:b/>
          <w:sz w:val="72"/>
          <w:szCs w:val="72"/>
        </w:rPr>
      </w:pPr>
      <w:r>
        <w:rPr>
          <w:rFonts w:hint="eastAsia" w:ascii="宋体" w:hAnsi="宋体"/>
          <w:b/>
          <w:sz w:val="72"/>
          <w:szCs w:val="72"/>
        </w:rPr>
        <w:t>善应镇人民政府</w:t>
      </w:r>
    </w:p>
    <w:p>
      <w:pPr>
        <w:adjustRightInd w:val="0"/>
        <w:snapToGrid w:val="0"/>
        <w:spacing w:line="360" w:lineRule="auto"/>
        <w:jc w:val="center"/>
        <w:rPr>
          <w:rFonts w:ascii="宋体" w:hAnsi="宋体"/>
          <w:b/>
          <w:sz w:val="72"/>
          <w:szCs w:val="72"/>
        </w:rPr>
      </w:pPr>
      <w:r>
        <w:rPr>
          <w:rFonts w:ascii="宋体" w:hAnsi="宋体"/>
          <w:b/>
          <w:sz w:val="72"/>
          <w:szCs w:val="72"/>
        </w:rPr>
        <w:t>20</w:t>
      </w:r>
      <w:r>
        <w:rPr>
          <w:rFonts w:hint="eastAsia" w:ascii="宋体" w:hAnsi="宋体"/>
          <w:b/>
          <w:sz w:val="72"/>
          <w:szCs w:val="72"/>
        </w:rPr>
        <w:t>23年度部门预算公开说明</w:t>
      </w:r>
    </w:p>
    <w:p>
      <w:pPr>
        <w:adjustRightInd w:val="0"/>
        <w:snapToGrid w:val="0"/>
        <w:spacing w:line="360" w:lineRule="auto"/>
        <w:jc w:val="center"/>
        <w:rPr>
          <w:rFonts w:ascii="方正小标宋简体" w:hAnsi="Times New Roman" w:eastAsia="方正小标宋简体"/>
          <w:b/>
          <w:sz w:val="84"/>
          <w:szCs w:val="84"/>
        </w:rPr>
      </w:pPr>
    </w:p>
    <w:p>
      <w:pPr>
        <w:adjustRightInd w:val="0"/>
        <w:snapToGrid w:val="0"/>
        <w:spacing w:line="360" w:lineRule="auto"/>
        <w:jc w:val="center"/>
        <w:rPr>
          <w:rFonts w:ascii="方正小标宋简体" w:hAnsi="Times New Roman" w:eastAsia="方正小标宋简体"/>
          <w:b/>
          <w:sz w:val="84"/>
          <w:szCs w:val="84"/>
        </w:rPr>
      </w:pPr>
    </w:p>
    <w:p>
      <w:pPr>
        <w:adjustRightInd w:val="0"/>
        <w:snapToGrid w:val="0"/>
        <w:spacing w:line="360" w:lineRule="auto"/>
        <w:rPr>
          <w:rFonts w:ascii="方正小标宋简体" w:hAnsi="Times New Roman" w:eastAsia="方正小标宋简体"/>
          <w:b/>
          <w:sz w:val="84"/>
          <w:szCs w:val="84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left="101" w:leftChars="48" w:right="-58" w:firstLine="2831" w:firstLineChars="641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2023年7月 15 日</w:t>
      </w:r>
    </w:p>
    <w:p>
      <w:pPr>
        <w:kinsoku w:val="0"/>
        <w:overflowPunct w:val="0"/>
        <w:adjustRightInd w:val="0"/>
        <w:snapToGrid w:val="0"/>
        <w:spacing w:line="360" w:lineRule="auto"/>
        <w:ind w:left="-142" w:firstLine="39" w:firstLineChars="7"/>
        <w:jc w:val="center"/>
        <w:rPr>
          <w:rFonts w:ascii="黑体" w:hAnsi="Times New Roman" w:eastAsia="黑体" w:cs="黑体"/>
          <w:sz w:val="56"/>
          <w:szCs w:val="56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left="-142" w:firstLine="39" w:firstLineChars="7"/>
        <w:jc w:val="center"/>
        <w:rPr>
          <w:rFonts w:ascii="黑体" w:hAnsi="Times New Roman" w:eastAsia="黑体" w:cs="黑体"/>
          <w:sz w:val="56"/>
          <w:szCs w:val="56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left="-142" w:firstLine="39" w:firstLineChars="7"/>
        <w:jc w:val="center"/>
        <w:rPr>
          <w:rFonts w:ascii="黑体" w:hAnsi="Times New Roman" w:eastAsia="黑体" w:cs="黑体"/>
          <w:sz w:val="56"/>
          <w:szCs w:val="56"/>
        </w:rPr>
      </w:pPr>
      <w:r>
        <w:rPr>
          <w:rFonts w:hint="eastAsia" w:ascii="黑体" w:hAnsi="Times New Roman" w:eastAsia="黑体" w:cs="黑体"/>
          <w:sz w:val="56"/>
          <w:szCs w:val="56"/>
        </w:rPr>
        <w:t>目  录</w:t>
      </w:r>
    </w:p>
    <w:p>
      <w:pPr>
        <w:kinsoku w:val="0"/>
        <w:overflowPunct w:val="0"/>
        <w:adjustRightInd w:val="0"/>
        <w:snapToGrid w:val="0"/>
        <w:spacing w:line="360" w:lineRule="auto"/>
        <w:ind w:firstLine="640" w:firstLineChars="200"/>
        <w:rPr>
          <w:rFonts w:ascii="黑体" w:hAnsi="Times New Roman" w:eastAsia="黑体" w:cs="黑体"/>
          <w:w w:val="99"/>
          <w:sz w:val="32"/>
          <w:szCs w:val="32"/>
        </w:rPr>
      </w:pPr>
      <w:r>
        <w:rPr>
          <w:rFonts w:hint="eastAsia" w:ascii="黑体" w:hAnsi="Times New Roman" w:eastAsia="黑体" w:cs="黑体"/>
          <w:sz w:val="32"/>
          <w:szCs w:val="32"/>
        </w:rPr>
        <w:t>第一部分</w:t>
      </w:r>
      <w:r>
        <w:rPr>
          <w:rFonts w:hint="eastAsia" w:ascii="黑体" w:hAnsi="黑体" w:eastAsia="黑体"/>
          <w:sz w:val="32"/>
          <w:szCs w:val="32"/>
        </w:rPr>
        <w:t>部门</w:t>
      </w:r>
      <w:r>
        <w:rPr>
          <w:rFonts w:hint="eastAsia" w:ascii="黑体" w:hAnsi="Times New Roman" w:eastAsia="黑体" w:cs="黑体"/>
          <w:sz w:val="32"/>
          <w:szCs w:val="32"/>
        </w:rPr>
        <w:t>概况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一、主要职能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二、部门预算单位构成</w:t>
      </w:r>
    </w:p>
    <w:p>
      <w:pPr>
        <w:kinsoku w:val="0"/>
        <w:overflowPunct w:val="0"/>
        <w:adjustRightInd w:val="0"/>
        <w:snapToGrid w:val="0"/>
        <w:spacing w:line="360" w:lineRule="auto"/>
        <w:ind w:firstLine="640" w:firstLineChars="200"/>
        <w:rPr>
          <w:rFonts w:ascii="黑体" w:hAnsi="Times New Roman" w:eastAsia="黑体" w:cs="黑体"/>
          <w:w w:val="99"/>
          <w:sz w:val="32"/>
          <w:szCs w:val="32"/>
        </w:rPr>
      </w:pPr>
      <w:r>
        <w:rPr>
          <w:rFonts w:hint="eastAsia" w:ascii="黑体" w:hAnsi="Times New Roman" w:eastAsia="黑体" w:cs="黑体"/>
          <w:sz w:val="32"/>
          <w:szCs w:val="32"/>
        </w:rPr>
        <w:t>第二部分</w:t>
      </w:r>
      <w:r>
        <w:rPr>
          <w:rFonts w:ascii="黑体" w:hAnsi="Times New Roman" w:eastAsia="黑体" w:cs="黑体"/>
          <w:sz w:val="32"/>
          <w:szCs w:val="32"/>
        </w:rPr>
        <w:t>20</w:t>
      </w:r>
      <w:r>
        <w:rPr>
          <w:rFonts w:hint="eastAsia" w:ascii="黑体" w:hAnsi="Times New Roman" w:eastAsia="黑体" w:cs="黑体"/>
          <w:sz w:val="32"/>
          <w:szCs w:val="32"/>
        </w:rPr>
        <w:t>23年度部门预算情况说明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一、部门收支总体情况说明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二、部门收入总体情况说明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三、部门支出总体情况说明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四、财政拨款收支总体情况说明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五、一般公共预算支出情况说明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六、一般公共预算基本支出情况说明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七、一般公共预算“三公”经费支出预算情况说明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八、政府性基金预算支出情况说明</w:t>
      </w:r>
    </w:p>
    <w:p>
      <w:pPr>
        <w:kinsoku w:val="0"/>
        <w:overflowPunct w:val="0"/>
        <w:adjustRightInd w:val="0"/>
        <w:snapToGrid w:val="0"/>
        <w:spacing w:line="360" w:lineRule="auto"/>
        <w:ind w:firstLine="960" w:firstLineChars="300"/>
        <w:jc w:val="left"/>
        <w:rPr>
          <w:rFonts w:ascii="仿宋_GB2312" w:eastAsia="仿宋_GB2312"/>
          <w:b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九、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其他重要事项的情况说明</w:t>
      </w:r>
    </w:p>
    <w:p>
      <w:pPr>
        <w:kinsoku w:val="0"/>
        <w:overflowPunct w:val="0"/>
        <w:adjustRightInd w:val="0"/>
        <w:snapToGrid w:val="0"/>
        <w:spacing w:line="360" w:lineRule="auto"/>
        <w:ind w:firstLine="640" w:firstLineChars="200"/>
        <w:jc w:val="left"/>
        <w:rPr>
          <w:rFonts w:ascii="黑体" w:hAnsi="Times New Roman" w:eastAsia="黑体" w:cs="黑体"/>
          <w:sz w:val="32"/>
          <w:szCs w:val="32"/>
        </w:rPr>
      </w:pPr>
      <w:r>
        <w:rPr>
          <w:rFonts w:hint="eastAsia" w:ascii="黑体" w:hAnsi="Times New Roman" w:eastAsia="黑体" w:cs="黑体"/>
          <w:sz w:val="32"/>
          <w:szCs w:val="32"/>
        </w:rPr>
        <w:t xml:space="preserve">第三部分  </w:t>
      </w:r>
      <w:r>
        <w:rPr>
          <w:rFonts w:hint="eastAsia" w:ascii="黑体" w:hAnsi="Times New Roman" w:eastAsia="黑体" w:cs="黑体"/>
          <w:spacing w:val="-32"/>
          <w:sz w:val="32"/>
          <w:szCs w:val="32"/>
        </w:rPr>
        <w:t>名词解释</w:t>
      </w:r>
    </w:p>
    <w:p>
      <w:pPr>
        <w:kinsoku w:val="0"/>
        <w:overflowPunct w:val="0"/>
        <w:adjustRightInd w:val="0"/>
        <w:snapToGrid w:val="0"/>
        <w:spacing w:line="360" w:lineRule="auto"/>
        <w:ind w:firstLine="630"/>
        <w:rPr>
          <w:rFonts w:ascii="黑体" w:hAnsi="Times New Roman" w:eastAsia="黑体" w:cs="黑体"/>
          <w:sz w:val="32"/>
          <w:szCs w:val="32"/>
        </w:rPr>
      </w:pPr>
      <w:r>
        <w:rPr>
          <w:rFonts w:hint="eastAsia" w:ascii="黑体" w:hAnsi="Times New Roman" w:eastAsia="黑体" w:cs="黑体"/>
          <w:sz w:val="32"/>
          <w:szCs w:val="32"/>
        </w:rPr>
        <w:t>第四部分</w:t>
      </w: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Times New Roman" w:eastAsia="黑体" w:cs="黑体"/>
          <w:sz w:val="32"/>
          <w:szCs w:val="32"/>
        </w:rPr>
        <w:t>20</w:t>
      </w:r>
      <w:r>
        <w:rPr>
          <w:rFonts w:hint="eastAsia" w:ascii="黑体" w:hAnsi="Times New Roman" w:eastAsia="黑体" w:cs="黑体"/>
          <w:sz w:val="32"/>
          <w:szCs w:val="32"/>
        </w:rPr>
        <w:t>23年度部门预算表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一、</w:t>
      </w:r>
      <w:r>
        <w:rPr>
          <w:rFonts w:hint="eastAsia" w:ascii="仿宋_GB2312" w:eastAsia="仿宋_GB2312"/>
          <w:sz w:val="32"/>
          <w:szCs w:val="32"/>
        </w:rPr>
        <w:t>部门收支预算表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二、</w:t>
      </w:r>
      <w:r>
        <w:rPr>
          <w:rFonts w:hint="eastAsia" w:ascii="仿宋_GB2312" w:eastAsia="仿宋_GB2312"/>
          <w:sz w:val="32"/>
          <w:szCs w:val="32"/>
        </w:rPr>
        <w:t>部门收入预算表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三、</w:t>
      </w:r>
      <w:r>
        <w:rPr>
          <w:rFonts w:hint="eastAsia" w:ascii="仿宋_GB2312" w:eastAsia="仿宋_GB2312"/>
          <w:sz w:val="32"/>
          <w:szCs w:val="32"/>
        </w:rPr>
        <w:t>部门支出预算表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四、</w:t>
      </w:r>
      <w:r>
        <w:rPr>
          <w:rFonts w:hint="eastAsia" w:ascii="仿宋_GB2312" w:eastAsia="仿宋_GB2312"/>
          <w:sz w:val="32"/>
          <w:szCs w:val="32"/>
        </w:rPr>
        <w:t>财政拨款收支预算表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五、</w:t>
      </w:r>
      <w:r>
        <w:rPr>
          <w:rFonts w:hint="eastAsia" w:ascii="仿宋_GB2312" w:eastAsia="仿宋_GB2312"/>
          <w:sz w:val="32"/>
          <w:szCs w:val="32"/>
        </w:rPr>
        <w:t>一般公共预算支出预算表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六、</w:t>
      </w:r>
      <w:r>
        <w:rPr>
          <w:rFonts w:hint="eastAsia" w:ascii="仿宋" w:hAnsi="仿宋" w:eastAsia="仿宋" w:cs="仿宋"/>
          <w:sz w:val="30"/>
          <w:szCs w:val="30"/>
        </w:rPr>
        <w:t>一般公共预算基本支出表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七、</w:t>
      </w:r>
      <w:r>
        <w:rPr>
          <w:rFonts w:hint="eastAsia" w:ascii="仿宋" w:hAnsi="仿宋" w:eastAsia="仿宋" w:cs="仿宋"/>
          <w:sz w:val="30"/>
          <w:szCs w:val="30"/>
        </w:rPr>
        <w:t>支出经济分类汇总表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八、</w:t>
      </w:r>
      <w:r>
        <w:rPr>
          <w:rFonts w:hint="eastAsia" w:ascii="仿宋" w:hAnsi="仿宋" w:eastAsia="仿宋" w:cs="仿宋"/>
          <w:sz w:val="30"/>
          <w:szCs w:val="30"/>
        </w:rPr>
        <w:t>一般公共预算“三公”经费预算表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九、</w:t>
      </w:r>
      <w:r>
        <w:rPr>
          <w:rFonts w:hint="eastAsia" w:ascii="仿宋" w:hAnsi="仿宋" w:eastAsia="仿宋" w:cs="仿宋"/>
          <w:sz w:val="30"/>
          <w:szCs w:val="30"/>
        </w:rPr>
        <w:t>政府性基金预算支出预算表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eastAsia="仿宋_GB2312"/>
          <w:sz w:val="32"/>
          <w:szCs w:val="32"/>
        </w:rPr>
        <w:t>十、</w:t>
      </w:r>
      <w:r>
        <w:rPr>
          <w:rFonts w:hint="eastAsia" w:ascii="仿宋" w:hAnsi="仿宋" w:eastAsia="仿宋" w:cs="仿宋"/>
          <w:sz w:val="30"/>
          <w:szCs w:val="30"/>
        </w:rPr>
        <w:t>项目支出预算表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00" w:firstLineChars="3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十一、部门整体绩效目标表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00" w:firstLineChars="3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十二、部门预算项目绩效目标表</w:t>
      </w:r>
    </w:p>
    <w:p>
      <w:pPr>
        <w:kinsoku w:val="0"/>
        <w:overflowPunct w:val="0"/>
        <w:adjustRightInd w:val="0"/>
        <w:snapToGrid w:val="0"/>
        <w:spacing w:line="360" w:lineRule="auto"/>
        <w:ind w:right="51" w:firstLine="900" w:firstLineChars="300"/>
        <w:jc w:val="left"/>
        <w:rPr>
          <w:rFonts w:ascii="仿宋" w:hAnsi="仿宋" w:eastAsia="仿宋" w:cs="仿宋"/>
          <w:sz w:val="30"/>
          <w:szCs w:val="30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  <w:bookmarkStart w:id="0" w:name="_GoBack"/>
      <w:bookmarkEnd w:id="0"/>
    </w:p>
    <w:p>
      <w:pPr>
        <w:kinsoku w:val="0"/>
        <w:overflowPunct w:val="0"/>
        <w:adjustRightInd w:val="0"/>
        <w:snapToGrid w:val="0"/>
        <w:spacing w:line="360" w:lineRule="auto"/>
        <w:ind w:right="51" w:firstLine="960" w:firstLineChars="300"/>
        <w:jc w:val="left"/>
        <w:rPr>
          <w:rFonts w:ascii="仿宋_GB2312" w:eastAsia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第一部分</w:t>
      </w:r>
    </w:p>
    <w:p>
      <w:pPr>
        <w:adjustRightInd w:val="0"/>
        <w:snapToGrid w:val="0"/>
        <w:spacing w:line="360" w:lineRule="auto"/>
        <w:jc w:val="center"/>
        <w:rPr>
          <w:rFonts w:hint="eastAsia"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>部门概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况</w:t>
      </w:r>
    </w:p>
    <w:p>
      <w:pPr>
        <w:adjustRightInd w:val="0"/>
        <w:snapToGrid w:val="0"/>
        <w:spacing w:line="360" w:lineRule="auto"/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numPr>
          <w:ilvl w:val="0"/>
          <w:numId w:val="1"/>
        </w:numPr>
        <w:adjustRightInd w:val="0"/>
        <w:snapToGrid w:val="0"/>
        <w:spacing w:line="500" w:lineRule="exact"/>
        <w:rPr>
          <w:rFonts w:asciiTheme="minorEastAsia" w:hAnsiTheme="minorEastAsia" w:eastAsia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善应镇人民政府主要职责</w:t>
      </w:r>
    </w:p>
    <w:p>
      <w:pPr>
        <w:pStyle w:val="6"/>
        <w:widowControl/>
        <w:spacing w:beforeAutospacing="0" w:afterAutospacing="0" w:line="500" w:lineRule="exact"/>
        <w:ind w:firstLine="640" w:firstLineChars="200"/>
        <w:jc w:val="both"/>
        <w:rPr>
          <w:rFonts w:cs="仿宋_GB2312" w:asciiTheme="minorEastAsia" w:hAnsiTheme="minorEastAsia" w:eastAsiaTheme="minorEastAsia"/>
          <w:color w:val="333333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color w:val="333333"/>
          <w:sz w:val="32"/>
          <w:szCs w:val="32"/>
        </w:rPr>
        <w:t>(一)、组织宣传贯彻落实党和国家在农村的各项路线、方针、政策，引导农民勤劳致富，守法致富。</w:t>
      </w:r>
    </w:p>
    <w:p>
      <w:pPr>
        <w:pStyle w:val="6"/>
        <w:widowControl/>
        <w:spacing w:beforeAutospacing="0" w:afterAutospacing="0" w:line="500" w:lineRule="exact"/>
        <w:ind w:firstLine="640" w:firstLineChars="200"/>
        <w:jc w:val="both"/>
        <w:rPr>
          <w:rFonts w:cs="仿宋_GB2312" w:asciiTheme="minorEastAsia" w:hAnsiTheme="minorEastAsia" w:eastAsiaTheme="minorEastAsia"/>
          <w:color w:val="333333"/>
          <w:sz w:val="32"/>
          <w:szCs w:val="32"/>
        </w:rPr>
      </w:pPr>
      <w:r>
        <w:rPr>
          <w:rFonts w:hint="eastAsia" w:cs="宋体" w:asciiTheme="minorEastAsia" w:hAnsiTheme="minorEastAsia" w:eastAsiaTheme="minorEastAsia"/>
          <w:color w:val="333333"/>
          <w:sz w:val="32"/>
          <w:szCs w:val="32"/>
        </w:rPr>
        <w:t>（二）</w:t>
      </w:r>
      <w:r>
        <w:rPr>
          <w:rFonts w:hint="eastAsia" w:cs="仿宋_GB2312" w:asciiTheme="minorEastAsia" w:hAnsiTheme="minorEastAsia" w:eastAsiaTheme="minorEastAsia"/>
          <w:color w:val="333333"/>
          <w:sz w:val="32"/>
          <w:szCs w:val="32"/>
        </w:rPr>
        <w:t>、组织制定和实施本乡国民经济和社会发展计划及其政策措施。</w:t>
      </w:r>
    </w:p>
    <w:p>
      <w:pPr>
        <w:pStyle w:val="6"/>
        <w:widowControl/>
        <w:spacing w:beforeAutospacing="0" w:afterAutospacing="0" w:line="500" w:lineRule="exact"/>
        <w:ind w:firstLine="640" w:firstLineChars="200"/>
        <w:jc w:val="both"/>
        <w:rPr>
          <w:rFonts w:cs="仿宋_GB2312" w:asciiTheme="minorEastAsia" w:hAnsiTheme="minorEastAsia" w:eastAsiaTheme="minorEastAsia"/>
          <w:color w:val="333333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color w:val="333333"/>
          <w:sz w:val="32"/>
          <w:szCs w:val="32"/>
        </w:rPr>
        <w:t>（三）、组织落实上级政府及镇党委、人大决定的整体发展计划、决议和方案。</w:t>
      </w:r>
    </w:p>
    <w:p>
      <w:pPr>
        <w:pStyle w:val="6"/>
        <w:widowControl/>
        <w:spacing w:beforeAutospacing="0" w:afterAutospacing="0" w:line="500" w:lineRule="exact"/>
        <w:ind w:firstLine="640" w:firstLineChars="200"/>
        <w:jc w:val="both"/>
        <w:rPr>
          <w:rFonts w:cs="仿宋_GB2312" w:asciiTheme="minorEastAsia" w:hAnsiTheme="minorEastAsia" w:eastAsiaTheme="minorEastAsia"/>
          <w:color w:val="333333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color w:val="333333"/>
          <w:sz w:val="32"/>
          <w:szCs w:val="32"/>
        </w:rPr>
        <w:t>（四）、领导和管理本乡经济、社会、科技、教育、文化、卫生、体育等各项事业。</w:t>
      </w:r>
    </w:p>
    <w:p>
      <w:pPr>
        <w:pStyle w:val="6"/>
        <w:widowControl/>
        <w:spacing w:beforeAutospacing="0" w:afterAutospacing="0" w:line="500" w:lineRule="exact"/>
        <w:ind w:firstLine="640" w:firstLineChars="200"/>
        <w:jc w:val="both"/>
        <w:rPr>
          <w:rFonts w:cs="仿宋_GB2312" w:asciiTheme="minorEastAsia" w:hAnsiTheme="minorEastAsia" w:eastAsiaTheme="minorEastAsia"/>
          <w:color w:val="333333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color w:val="333333"/>
          <w:sz w:val="32"/>
          <w:szCs w:val="32"/>
        </w:rPr>
        <w:t>（五)、管理、指导乡属事业单位、村民委员会工作，协调各单位与上级业务主管部门之间的关系。</w:t>
      </w:r>
    </w:p>
    <w:p>
      <w:pPr>
        <w:pStyle w:val="6"/>
        <w:widowControl/>
        <w:spacing w:beforeAutospacing="0" w:afterAutospacing="0" w:line="500" w:lineRule="exact"/>
        <w:ind w:firstLine="800" w:firstLineChars="250"/>
        <w:jc w:val="both"/>
        <w:rPr>
          <w:rFonts w:cs="仿宋_GB2312" w:asciiTheme="minorEastAsia" w:hAnsiTheme="minorEastAsia" w:eastAsiaTheme="minorEastAsia"/>
          <w:color w:val="333333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color w:val="333333"/>
          <w:sz w:val="32"/>
          <w:szCs w:val="32"/>
        </w:rPr>
        <w:t>(六)、完成上级党委、政府下达的各项工作任务、指标和交办的其它事项。</w:t>
      </w:r>
    </w:p>
    <w:p>
      <w:pPr>
        <w:pStyle w:val="6"/>
        <w:widowControl/>
        <w:spacing w:beforeAutospacing="0" w:afterAutospacing="0" w:line="500" w:lineRule="exact"/>
        <w:ind w:firstLine="800" w:firstLineChars="250"/>
        <w:jc w:val="both"/>
        <w:rPr>
          <w:rFonts w:cs="仿宋_GB2312" w:asciiTheme="minorEastAsia" w:hAnsiTheme="minorEastAsia" w:eastAsiaTheme="minorEastAsia"/>
          <w:sz w:val="32"/>
          <w:szCs w:val="32"/>
        </w:rPr>
      </w:pPr>
    </w:p>
    <w:p>
      <w:pPr>
        <w:adjustRightInd w:val="0"/>
        <w:snapToGrid w:val="0"/>
        <w:spacing w:line="500" w:lineRule="exact"/>
        <w:ind w:firstLine="640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二、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善应镇人民政府预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算单位构成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right="118" w:firstLine="640" w:firstLineChars="200"/>
        <w:jc w:val="left"/>
        <w:rPr>
          <w:rFonts w:cs="仿宋_GB2312" w:asciiTheme="minorEastAsia" w:hAnsiTheme="minorEastAsia" w:eastAsiaTheme="minorEastAsia"/>
          <w:spacing w:val="-1"/>
          <w:kern w:val="0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z w:val="32"/>
          <w:szCs w:val="32"/>
        </w:rPr>
        <w:t>善应镇人民政府</w:t>
      </w:r>
      <w:r>
        <w:rPr>
          <w:rFonts w:hint="eastAsia" w:cs="仿宋_GB2312" w:asciiTheme="minorEastAsia" w:hAnsiTheme="minorEastAsia" w:eastAsiaTheme="minorEastAsia"/>
          <w:kern w:val="0"/>
          <w:sz w:val="32"/>
          <w:szCs w:val="32"/>
        </w:rPr>
        <w:t>有二级机构5个，5个机构均列入乡政府本级预算，我镇二级机构有：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left="761" w:firstLine="356"/>
        <w:rPr>
          <w:rFonts w:cs="仿宋_GB2312" w:asciiTheme="minorEastAsia" w:hAnsiTheme="minorEastAsia" w:eastAsiaTheme="minorEastAsia"/>
          <w:spacing w:val="-1"/>
          <w:kern w:val="0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pacing w:val="-1"/>
          <w:kern w:val="0"/>
          <w:sz w:val="32"/>
          <w:szCs w:val="32"/>
        </w:rPr>
        <w:t>善应镇党政综合便民服务中心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left="761" w:firstLine="356"/>
        <w:rPr>
          <w:rFonts w:cs="仿宋_GB2312" w:asciiTheme="minorEastAsia" w:hAnsiTheme="minorEastAsia" w:eastAsiaTheme="minorEastAsia"/>
          <w:spacing w:val="-1"/>
          <w:kern w:val="0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pacing w:val="-1"/>
          <w:kern w:val="0"/>
          <w:sz w:val="32"/>
          <w:szCs w:val="32"/>
        </w:rPr>
        <w:t>善应镇综合行政执法中队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left="761" w:firstLine="356"/>
        <w:rPr>
          <w:rFonts w:cs="仿宋_GB2312" w:asciiTheme="minorEastAsia" w:hAnsiTheme="minorEastAsia" w:eastAsiaTheme="minorEastAsia"/>
          <w:spacing w:val="-1"/>
          <w:kern w:val="0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pacing w:val="-1"/>
          <w:kern w:val="0"/>
          <w:sz w:val="32"/>
          <w:szCs w:val="32"/>
        </w:rPr>
        <w:t>3、善应镇社会治安综合治理中心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left="761" w:firstLine="356"/>
        <w:rPr>
          <w:rFonts w:cs="仿宋_GB2312" w:asciiTheme="minorEastAsia" w:hAnsiTheme="minorEastAsia" w:eastAsiaTheme="minorEastAsia"/>
          <w:spacing w:val="-1"/>
          <w:kern w:val="0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pacing w:val="-1"/>
          <w:kern w:val="0"/>
          <w:sz w:val="32"/>
          <w:szCs w:val="32"/>
        </w:rPr>
        <w:t>4、善应镇宣传文化旅游服务中心</w:t>
      </w:r>
    </w:p>
    <w:p>
      <w:pPr>
        <w:kinsoku w:val="0"/>
        <w:overflowPunct w:val="0"/>
        <w:adjustRightInd w:val="0"/>
        <w:snapToGrid w:val="0"/>
        <w:spacing w:line="500" w:lineRule="exact"/>
        <w:ind w:firstLine="640" w:firstLineChars="200"/>
        <w:rPr>
          <w:rFonts w:cs="仿宋_GB2312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z w:val="32"/>
          <w:szCs w:val="32"/>
        </w:rPr>
        <w:t xml:space="preserve">   5、善应镇退役军人服务站</w:t>
      </w:r>
    </w:p>
    <w:p>
      <w:pPr>
        <w:adjustRightInd w:val="0"/>
        <w:snapToGrid w:val="0"/>
        <w:spacing w:line="360" w:lineRule="auto"/>
        <w:jc w:val="center"/>
        <w:rPr>
          <w:rFonts w:hint="eastAsia" w:cs="黑体" w:asciiTheme="minorEastAsia" w:hAnsiTheme="minorEastAsia" w:eastAsiaTheme="minorEastAsia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cs="黑体" w:asciiTheme="minorEastAsia" w:hAnsiTheme="minorEastAsia" w:eastAsiaTheme="minorEastAsia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cs="黑体" w:asciiTheme="minorEastAsia" w:hAnsiTheme="minorEastAsia" w:eastAsiaTheme="minorEastAsia"/>
          <w:b/>
          <w:spacing w:val="-38"/>
          <w:sz w:val="32"/>
          <w:szCs w:val="32"/>
        </w:rPr>
      </w:pPr>
      <w:r>
        <w:rPr>
          <w:rFonts w:hint="eastAsia" w:cs="黑体" w:asciiTheme="minorEastAsia" w:hAnsiTheme="minorEastAsia" w:eastAsiaTheme="minorEastAsia"/>
          <w:b/>
          <w:sz w:val="32"/>
          <w:szCs w:val="32"/>
        </w:rPr>
        <w:t>第二部分</w:t>
      </w:r>
    </w:p>
    <w:p>
      <w:pPr>
        <w:adjustRightInd w:val="0"/>
        <w:snapToGrid w:val="0"/>
        <w:spacing w:line="360" w:lineRule="auto"/>
        <w:jc w:val="center"/>
        <w:rPr>
          <w:rFonts w:asciiTheme="minorEastAsia" w:hAnsiTheme="minorEastAsia" w:eastAsiaTheme="minorEastAsia"/>
          <w:b/>
          <w:bCs/>
          <w:sz w:val="32"/>
          <w:szCs w:val="32"/>
        </w:rPr>
      </w:pPr>
      <w:r>
        <w:rPr>
          <w:rFonts w:cs="黑体" w:asciiTheme="minorEastAsia" w:hAnsiTheme="minorEastAsia" w:eastAsiaTheme="minorEastAsia"/>
          <w:b/>
          <w:bCs/>
          <w:sz w:val="32"/>
          <w:szCs w:val="32"/>
        </w:rPr>
        <w:t>20</w:t>
      </w:r>
      <w:r>
        <w:rPr>
          <w:rFonts w:hint="eastAsia" w:cs="黑体" w:asciiTheme="minorEastAsia" w:hAnsiTheme="minorEastAsia" w:eastAsiaTheme="minorEastAsia"/>
          <w:b/>
          <w:bCs/>
          <w:sz w:val="32"/>
          <w:szCs w:val="32"/>
        </w:rPr>
        <w:t>23年度部门预算情况说明</w:t>
      </w:r>
    </w:p>
    <w:p>
      <w:pPr>
        <w:adjustRightInd w:val="0"/>
        <w:snapToGrid w:val="0"/>
        <w:spacing w:line="360" w:lineRule="auto"/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</w:p>
    <w:p>
      <w:pPr>
        <w:numPr>
          <w:ilvl w:val="0"/>
          <w:numId w:val="3"/>
        </w:numPr>
        <w:adjustRightInd w:val="0"/>
        <w:snapToGrid w:val="0"/>
        <w:spacing w:line="500" w:lineRule="exact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部门收支总体情况说明</w:t>
      </w:r>
    </w:p>
    <w:p>
      <w:pPr>
        <w:adjustRightInd w:val="0"/>
        <w:snapToGrid w:val="0"/>
        <w:spacing w:line="50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cs="Courier New" w:asciiTheme="minorEastAsia" w:hAnsiTheme="minorEastAsia" w:eastAsiaTheme="minorEastAsia"/>
          <w:sz w:val="32"/>
          <w:szCs w:val="32"/>
        </w:rPr>
        <w:t>20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23年收入总计</w:t>
      </w:r>
      <w:r>
        <w:rPr>
          <w:rFonts w:hint="eastAsia" w:asciiTheme="minorEastAsia" w:hAnsiTheme="minorEastAsia" w:eastAsiaTheme="minorEastAsia"/>
          <w:sz w:val="32"/>
          <w:szCs w:val="32"/>
        </w:rPr>
        <w:t>2183.25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万元，支出总计</w:t>
      </w:r>
      <w:r>
        <w:rPr>
          <w:rFonts w:hint="eastAsia" w:asciiTheme="minorEastAsia" w:hAnsiTheme="minorEastAsia" w:eastAsiaTheme="minorEastAsia"/>
          <w:sz w:val="32"/>
          <w:szCs w:val="32"/>
        </w:rPr>
        <w:t>2183.25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万元，与</w:t>
      </w:r>
      <w:r>
        <w:rPr>
          <w:rFonts w:cs="Courier New" w:asciiTheme="minorEastAsia" w:hAnsiTheme="minorEastAsia" w:eastAsiaTheme="minorEastAsia"/>
          <w:sz w:val="32"/>
          <w:szCs w:val="32"/>
        </w:rPr>
        <w:t>20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22年相比，收支总计各增加</w:t>
      </w:r>
      <w:r>
        <w:rPr>
          <w:rFonts w:hint="eastAsia" w:asciiTheme="minorEastAsia" w:hAnsiTheme="minorEastAsia" w:eastAsiaTheme="minorEastAsia"/>
          <w:sz w:val="32"/>
          <w:szCs w:val="32"/>
        </w:rPr>
        <w:t>370.71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万元，增加</w:t>
      </w:r>
      <w:r>
        <w:rPr>
          <w:rFonts w:hint="eastAsia" w:asciiTheme="minorEastAsia" w:hAnsiTheme="minorEastAsia" w:eastAsiaTheme="minorEastAsia"/>
          <w:sz w:val="32"/>
          <w:szCs w:val="32"/>
        </w:rPr>
        <w:t>20.46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。主要原因：</w:t>
      </w:r>
      <w:r>
        <w:rPr>
          <w:rFonts w:hint="eastAsia" w:asciiTheme="minorEastAsia" w:hAnsiTheme="minorEastAsia" w:eastAsiaTheme="minorEastAsia"/>
          <w:sz w:val="32"/>
          <w:szCs w:val="32"/>
        </w:rPr>
        <w:t>本年度新增工作人员、人员社保和工资正常晋档晋级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。</w:t>
      </w:r>
    </w:p>
    <w:p>
      <w:pPr>
        <w:spacing w:line="500" w:lineRule="exact"/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二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、部门收入总体情况说明</w:t>
      </w:r>
    </w:p>
    <w:p>
      <w:pPr>
        <w:spacing w:line="500" w:lineRule="exact"/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2023年收入合计2183.25万元，其中：一般公共预算2180.25万元</w:t>
      </w:r>
      <w:r>
        <w:rPr>
          <w:rFonts w:asciiTheme="minorEastAsia" w:hAnsiTheme="minorEastAsia" w:eastAsiaTheme="minorEastAsia"/>
          <w:sz w:val="32"/>
          <w:szCs w:val="32"/>
        </w:rPr>
        <w:t>;</w:t>
      </w:r>
      <w:r>
        <w:rPr>
          <w:rFonts w:hint="eastAsia" w:asciiTheme="minorEastAsia" w:hAnsiTheme="minorEastAsia" w:eastAsiaTheme="minorEastAsia"/>
          <w:sz w:val="32"/>
          <w:szCs w:val="32"/>
        </w:rPr>
        <w:t>政府性基金收入3万元；专户管理的教育收费0万元；国有资本经营预算收入0万元；事业收入0万元；经营收入0万元；其他收入0万元。</w:t>
      </w:r>
    </w:p>
    <w:p>
      <w:pPr>
        <w:spacing w:line="500" w:lineRule="exact"/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三、部门支出总体情况说明</w:t>
      </w:r>
    </w:p>
    <w:p>
      <w:pPr>
        <w:spacing w:line="500" w:lineRule="exact"/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2023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年支出合计</w:t>
      </w:r>
      <w:r>
        <w:rPr>
          <w:rFonts w:hint="eastAsia" w:asciiTheme="minorEastAsia" w:hAnsiTheme="minorEastAsia" w:eastAsiaTheme="minorEastAsia"/>
          <w:sz w:val="32"/>
          <w:szCs w:val="32"/>
        </w:rPr>
        <w:t>2183.25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万元，其中：基本支出</w:t>
      </w:r>
      <w:r>
        <w:rPr>
          <w:rFonts w:hint="eastAsia" w:asciiTheme="minorEastAsia" w:hAnsiTheme="minorEastAsia" w:eastAsiaTheme="minorEastAsia"/>
          <w:sz w:val="32"/>
          <w:szCs w:val="32"/>
        </w:rPr>
        <w:t>1023.32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万元，占</w:t>
      </w:r>
      <w:r>
        <w:rPr>
          <w:rFonts w:hint="eastAsia" w:asciiTheme="minorEastAsia" w:hAnsiTheme="minorEastAsia" w:eastAsiaTheme="minorEastAsia"/>
          <w:sz w:val="32"/>
          <w:szCs w:val="32"/>
        </w:rPr>
        <w:t>46.88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；项目支出</w:t>
      </w:r>
      <w:r>
        <w:rPr>
          <w:rFonts w:hint="eastAsia" w:asciiTheme="minorEastAsia" w:hAnsiTheme="minorEastAsia" w:eastAsiaTheme="minorEastAsia"/>
          <w:sz w:val="32"/>
          <w:szCs w:val="32"/>
        </w:rPr>
        <w:t>1159.93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万元，占</w:t>
      </w:r>
      <w:r>
        <w:rPr>
          <w:rFonts w:hint="eastAsia" w:asciiTheme="minorEastAsia" w:hAnsiTheme="minorEastAsia" w:eastAsiaTheme="minorEastAsia"/>
          <w:sz w:val="32"/>
          <w:szCs w:val="32"/>
        </w:rPr>
        <w:t>53.12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。</w:t>
      </w:r>
    </w:p>
    <w:p>
      <w:pPr>
        <w:spacing w:line="500" w:lineRule="exact"/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四、财政拨款收支总体情况说明</w:t>
      </w:r>
    </w:p>
    <w:p>
      <w:pPr>
        <w:adjustRightInd w:val="0"/>
        <w:snapToGrid w:val="0"/>
        <w:spacing w:line="50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2023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年一般公共预算收支预算</w:t>
      </w:r>
      <w:r>
        <w:rPr>
          <w:rFonts w:hint="eastAsia" w:asciiTheme="minorEastAsia" w:hAnsiTheme="minorEastAsia" w:eastAsiaTheme="minorEastAsia"/>
          <w:sz w:val="32"/>
          <w:szCs w:val="32"/>
        </w:rPr>
        <w:t>2180.25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万元，政府性基金收支预算</w:t>
      </w:r>
      <w:r>
        <w:rPr>
          <w:rFonts w:hint="eastAsia" w:asciiTheme="minorEastAsia" w:hAnsiTheme="minorEastAsia" w:eastAsiaTheme="minorEastAsia"/>
          <w:sz w:val="32"/>
          <w:szCs w:val="32"/>
        </w:rPr>
        <w:t>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万元。与</w:t>
      </w:r>
      <w:r>
        <w:rPr>
          <w:rFonts w:cs="Courier New" w:asciiTheme="minorEastAsia" w:hAnsiTheme="minorEastAsia" w:eastAsiaTheme="minorEastAsia"/>
          <w:sz w:val="32"/>
          <w:szCs w:val="32"/>
        </w:rPr>
        <w:t xml:space="preserve"> 20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22年相比，一般公共预算收支预算增加367.71万元，上升16.87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，主要原因：</w:t>
      </w:r>
      <w:r>
        <w:rPr>
          <w:rFonts w:hint="eastAsia" w:asciiTheme="minorEastAsia" w:hAnsiTheme="minorEastAsia" w:eastAsiaTheme="minorEastAsia"/>
          <w:sz w:val="32"/>
          <w:szCs w:val="32"/>
        </w:rPr>
        <w:t>本年度新增工作人员、人员社保和工资正常晋档晋级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。政府性基金收支预算增加</w:t>
      </w:r>
      <w:r>
        <w:rPr>
          <w:rFonts w:hint="eastAsia" w:asciiTheme="minorEastAsia" w:hAnsiTheme="minorEastAsia" w:eastAsiaTheme="minorEastAsia"/>
          <w:sz w:val="32"/>
          <w:szCs w:val="32"/>
        </w:rPr>
        <w:t>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万元，增长100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。</w:t>
      </w:r>
    </w:p>
    <w:p>
      <w:pPr>
        <w:spacing w:line="500" w:lineRule="exact"/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五、一般公共预算支出情况说明</w:t>
      </w:r>
    </w:p>
    <w:p>
      <w:pPr>
        <w:spacing w:line="500" w:lineRule="exact"/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2023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年一般公共预算支出年初预算为</w:t>
      </w:r>
      <w:r>
        <w:rPr>
          <w:rFonts w:hint="eastAsia" w:asciiTheme="minorEastAsia" w:hAnsiTheme="minorEastAsia" w:eastAsiaTheme="minorEastAsia"/>
          <w:sz w:val="32"/>
          <w:szCs w:val="32"/>
        </w:rPr>
        <w:t>2180.25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万元，其中：基本支出</w:t>
      </w:r>
      <w:r>
        <w:rPr>
          <w:rFonts w:hint="eastAsia" w:asciiTheme="minorEastAsia" w:hAnsiTheme="minorEastAsia" w:eastAsiaTheme="minorEastAsia"/>
          <w:sz w:val="32"/>
          <w:szCs w:val="32"/>
        </w:rPr>
        <w:t>1023.32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万元，占</w:t>
      </w:r>
      <w:r>
        <w:rPr>
          <w:rFonts w:hint="eastAsia" w:asciiTheme="minorEastAsia" w:hAnsiTheme="minorEastAsia" w:eastAsiaTheme="minorEastAsia"/>
          <w:sz w:val="32"/>
          <w:szCs w:val="32"/>
        </w:rPr>
        <w:t>46.94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；项目支出</w:t>
      </w:r>
      <w:r>
        <w:rPr>
          <w:rFonts w:hint="eastAsia" w:asciiTheme="minorEastAsia" w:hAnsiTheme="minorEastAsia" w:eastAsiaTheme="minorEastAsia"/>
          <w:sz w:val="32"/>
          <w:szCs w:val="32"/>
        </w:rPr>
        <w:t>1156.93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万元，占</w:t>
      </w:r>
      <w:r>
        <w:rPr>
          <w:rFonts w:hint="eastAsia" w:asciiTheme="minorEastAsia" w:hAnsiTheme="minorEastAsia" w:eastAsiaTheme="minorEastAsia"/>
          <w:sz w:val="32"/>
          <w:szCs w:val="32"/>
        </w:rPr>
        <w:t>53.06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。</w:t>
      </w:r>
    </w:p>
    <w:p>
      <w:pPr>
        <w:spacing w:line="500" w:lineRule="exact"/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cs="黑体" w:asciiTheme="minorEastAsia" w:hAnsiTheme="minorEastAsia" w:eastAsiaTheme="minorEastAsia"/>
          <w:b/>
          <w:kern w:val="0"/>
          <w:sz w:val="32"/>
          <w:szCs w:val="32"/>
        </w:rPr>
        <w:t>六、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一般公共预算基本支出情况说明</w:t>
      </w:r>
    </w:p>
    <w:p>
      <w:pPr>
        <w:spacing w:line="50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2023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年一般公共预算基本支出年初预算为</w:t>
      </w:r>
      <w:r>
        <w:rPr>
          <w:rFonts w:hint="eastAsia" w:asciiTheme="minorEastAsia" w:hAnsiTheme="minorEastAsia" w:eastAsiaTheme="minorEastAsia"/>
          <w:sz w:val="32"/>
          <w:szCs w:val="32"/>
        </w:rPr>
        <w:t>1023.32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万元，其中：人员经费</w:t>
      </w:r>
      <w:r>
        <w:rPr>
          <w:rFonts w:hint="eastAsia" w:asciiTheme="minorEastAsia" w:hAnsiTheme="minorEastAsia" w:eastAsiaTheme="minorEastAsia"/>
          <w:sz w:val="32"/>
          <w:szCs w:val="32"/>
        </w:rPr>
        <w:t>761.99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万元，占</w:t>
      </w:r>
      <w:r>
        <w:rPr>
          <w:rFonts w:hint="eastAsia" w:asciiTheme="minorEastAsia" w:hAnsiTheme="minorEastAsia" w:eastAsiaTheme="minorEastAsia"/>
          <w:sz w:val="32"/>
          <w:szCs w:val="32"/>
        </w:rPr>
        <w:t>74.47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；公用经费</w:t>
      </w:r>
      <w:r>
        <w:rPr>
          <w:rFonts w:hint="eastAsia" w:asciiTheme="minorEastAsia" w:hAnsiTheme="minorEastAsia" w:eastAsiaTheme="minorEastAsia"/>
          <w:sz w:val="32"/>
          <w:szCs w:val="32"/>
        </w:rPr>
        <w:t>261.33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万元，占</w:t>
      </w:r>
      <w:r>
        <w:rPr>
          <w:rFonts w:hint="eastAsia" w:asciiTheme="minorEastAsia" w:hAnsiTheme="minorEastAsia" w:eastAsiaTheme="minorEastAsia"/>
          <w:sz w:val="32"/>
          <w:szCs w:val="32"/>
        </w:rPr>
        <w:t>25.53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。</w:t>
      </w:r>
    </w:p>
    <w:p>
      <w:pPr>
        <w:spacing w:line="500" w:lineRule="exact"/>
        <w:ind w:firstLine="643" w:firstLineChars="200"/>
        <w:rPr>
          <w:rFonts w:cs="黑体" w:asciiTheme="minorEastAsia" w:hAnsiTheme="minorEastAsia" w:eastAsiaTheme="minorEastAsia"/>
          <w:b/>
          <w:kern w:val="0"/>
          <w:sz w:val="32"/>
          <w:szCs w:val="32"/>
        </w:rPr>
      </w:pPr>
      <w:r>
        <w:rPr>
          <w:rFonts w:hint="eastAsia" w:cs="黑体" w:asciiTheme="minorEastAsia" w:hAnsiTheme="minorEastAsia" w:eastAsiaTheme="minorEastAsia"/>
          <w:b/>
          <w:kern w:val="0"/>
          <w:sz w:val="32"/>
          <w:szCs w:val="32"/>
        </w:rPr>
        <w:t>七、一般公共预算“三公”经费支出预算情况说明</w:t>
      </w:r>
    </w:p>
    <w:p>
      <w:pPr>
        <w:spacing w:line="500" w:lineRule="exact"/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我部门2023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年“三公”经费预算为</w:t>
      </w:r>
      <w:r>
        <w:rPr>
          <w:rFonts w:hint="eastAsia" w:asciiTheme="minorEastAsia" w:hAnsiTheme="minorEastAsia" w:eastAsiaTheme="minorEastAsia"/>
          <w:sz w:val="32"/>
          <w:szCs w:val="32"/>
        </w:rPr>
        <w:t>106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具体支出情况如下：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36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pacing w:val="-1"/>
          <w:kern w:val="0"/>
          <w:sz w:val="32"/>
          <w:szCs w:val="32"/>
        </w:rPr>
        <w:t>（一）因公出国（境）费</w:t>
      </w:r>
      <w:r>
        <w:rPr>
          <w:rFonts w:hint="eastAsia" w:asciiTheme="minorEastAsia" w:hAnsiTheme="minorEastAsia" w:eastAsiaTheme="minorEastAsia"/>
          <w:sz w:val="32"/>
          <w:szCs w:val="32"/>
        </w:rPr>
        <w:t>0</w:t>
      </w:r>
      <w:r>
        <w:rPr>
          <w:rFonts w:hint="eastAsia" w:cs="仿宋_GB2312" w:asciiTheme="minorEastAsia" w:hAnsiTheme="minorEastAsia" w:eastAsiaTheme="minorEastAsia"/>
          <w:spacing w:val="-1"/>
          <w:kern w:val="0"/>
          <w:sz w:val="32"/>
          <w:szCs w:val="32"/>
        </w:rPr>
        <w:t>万元，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主要用于单位工作人员公务出国（境）的住宿费、旅费、伙食补助费、杂费、培训费等支出。因公出国（境）费预算数与</w:t>
      </w:r>
      <w:r>
        <w:rPr>
          <w:rFonts w:cs="Courier New" w:asciiTheme="minorEastAsia" w:hAnsiTheme="minorEastAsia" w:eastAsiaTheme="minorEastAsia"/>
          <w:sz w:val="32"/>
          <w:szCs w:val="32"/>
        </w:rPr>
        <w:t>20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22年相比持平。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36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pacing w:val="-1"/>
          <w:kern w:val="0"/>
          <w:sz w:val="32"/>
          <w:szCs w:val="32"/>
        </w:rPr>
        <w:t>（二）公务用车购置及运行费</w:t>
      </w:r>
      <w:r>
        <w:rPr>
          <w:rFonts w:hint="eastAsia" w:asciiTheme="minorEastAsia" w:hAnsiTheme="minorEastAsia" w:eastAsiaTheme="minorEastAsia"/>
          <w:sz w:val="32"/>
          <w:szCs w:val="32"/>
        </w:rPr>
        <w:t>92</w:t>
      </w:r>
      <w:r>
        <w:rPr>
          <w:rFonts w:hint="eastAsia" w:cs="仿宋_GB2312" w:asciiTheme="minorEastAsia" w:hAnsiTheme="minorEastAsia" w:eastAsiaTheme="minorEastAsia"/>
          <w:kern w:val="0"/>
          <w:sz w:val="32"/>
          <w:szCs w:val="32"/>
        </w:rPr>
        <w:t>万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元，其中，公务用车购置费</w:t>
      </w:r>
      <w:r>
        <w:rPr>
          <w:rFonts w:hint="eastAsia" w:asciiTheme="minorEastAsia" w:hAnsiTheme="minorEastAsia" w:eastAsiaTheme="minorEastAsia"/>
          <w:sz w:val="32"/>
          <w:szCs w:val="32"/>
        </w:rPr>
        <w:t>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万元；公务用车运行维护费</w:t>
      </w:r>
      <w:r>
        <w:rPr>
          <w:rFonts w:hint="eastAsia" w:asciiTheme="minorEastAsia" w:hAnsiTheme="minorEastAsia" w:eastAsiaTheme="minorEastAsia"/>
          <w:sz w:val="32"/>
          <w:szCs w:val="32"/>
        </w:rPr>
        <w:t>92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万元，主要用于开展工作所需公务用车的燃料费、维修费、过路过桥费、保险费、安全奖励费用等支出。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36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pacing w:val="-1"/>
          <w:kern w:val="0"/>
          <w:sz w:val="32"/>
          <w:szCs w:val="32"/>
        </w:rPr>
        <w:t>（三）公务接待费</w:t>
      </w:r>
      <w:r>
        <w:rPr>
          <w:rFonts w:hint="eastAsia" w:asciiTheme="minorEastAsia" w:hAnsiTheme="minorEastAsia" w:eastAsiaTheme="minorEastAsia"/>
          <w:sz w:val="32"/>
          <w:szCs w:val="32"/>
        </w:rPr>
        <w:t>14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万元，主要用于按规定开支的各类公务接待（含外宾接待）支出。</w:t>
      </w:r>
    </w:p>
    <w:p>
      <w:pPr>
        <w:spacing w:line="500" w:lineRule="exact"/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cs="黑体" w:asciiTheme="minorEastAsia" w:hAnsiTheme="minorEastAsia" w:eastAsiaTheme="minorEastAsia"/>
          <w:b/>
          <w:kern w:val="0"/>
          <w:sz w:val="32"/>
          <w:szCs w:val="32"/>
        </w:rPr>
        <w:t>八、政府性基金预算支出情况说明</w:t>
      </w:r>
    </w:p>
    <w:p>
      <w:pPr>
        <w:spacing w:line="500" w:lineRule="exact"/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bCs/>
          <w:sz w:val="32"/>
          <w:szCs w:val="32"/>
        </w:rPr>
        <w:t>我部门2023年政府性基金预算安排支出3万元，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其中：基本支出</w:t>
      </w:r>
      <w:r>
        <w:rPr>
          <w:rFonts w:hint="eastAsia" w:asciiTheme="minorEastAsia" w:hAnsiTheme="minorEastAsia" w:eastAsiaTheme="minorEastAsia"/>
          <w:sz w:val="32"/>
          <w:szCs w:val="32"/>
        </w:rPr>
        <w:t>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万元，占</w:t>
      </w:r>
      <w:r>
        <w:rPr>
          <w:rFonts w:hint="eastAsia" w:asciiTheme="minorEastAsia" w:hAnsiTheme="minorEastAsia" w:eastAsiaTheme="minorEastAsia"/>
          <w:sz w:val="32"/>
          <w:szCs w:val="32"/>
        </w:rPr>
        <w:t>0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；项目支出</w:t>
      </w:r>
      <w:r>
        <w:rPr>
          <w:rFonts w:hint="eastAsia" w:asciiTheme="minorEastAsia" w:hAnsiTheme="minorEastAsia" w:eastAsiaTheme="minorEastAsia"/>
          <w:sz w:val="32"/>
          <w:szCs w:val="32"/>
        </w:rPr>
        <w:t>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万元，占</w:t>
      </w:r>
      <w:r>
        <w:rPr>
          <w:rFonts w:hint="eastAsia" w:asciiTheme="minorEastAsia" w:hAnsiTheme="minorEastAsia" w:eastAsiaTheme="minorEastAsia"/>
          <w:sz w:val="32"/>
          <w:szCs w:val="32"/>
        </w:rPr>
        <w:t>100</w:t>
      </w:r>
      <w:r>
        <w:rPr>
          <w:rFonts w:cs="Courier New" w:asciiTheme="minorEastAsia" w:hAnsiTheme="minorEastAsia" w:eastAsiaTheme="minorEastAsia"/>
          <w:sz w:val="32"/>
          <w:szCs w:val="32"/>
        </w:rPr>
        <w:t>%</w:t>
      </w:r>
      <w:r>
        <w:rPr>
          <w:rFonts w:hint="eastAsia" w:asciiTheme="minorEastAsia" w:hAnsiTheme="minorEastAsia" w:eastAsiaTheme="minorEastAsia"/>
          <w:sz w:val="32"/>
          <w:szCs w:val="32"/>
        </w:rPr>
        <w:t>。</w:t>
      </w:r>
    </w:p>
    <w:p>
      <w:pPr>
        <w:kinsoku w:val="0"/>
        <w:overflowPunct w:val="0"/>
        <w:adjustRightInd w:val="0"/>
        <w:snapToGrid w:val="0"/>
        <w:spacing w:line="500" w:lineRule="exact"/>
        <w:ind w:firstLine="643" w:firstLineChars="200"/>
        <w:jc w:val="left"/>
        <w:rPr>
          <w:rFonts w:cs="仿宋_GB2312"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color w:val="000000"/>
          <w:sz w:val="32"/>
          <w:szCs w:val="32"/>
          <w:shd w:val="clear" w:color="auto" w:fill="FFFFFF"/>
        </w:rPr>
        <w:t>九、其他重要事项的情况说明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kern w:val="0"/>
          <w:sz w:val="32"/>
          <w:szCs w:val="32"/>
        </w:rPr>
        <w:t>（一）机关运行经费支出情况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2023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年机关运行经费支出预算</w:t>
      </w:r>
      <w:r>
        <w:rPr>
          <w:rFonts w:hint="eastAsia" w:asciiTheme="minorEastAsia" w:hAnsiTheme="minorEastAsia" w:eastAsiaTheme="minorEastAsia"/>
          <w:sz w:val="32"/>
          <w:szCs w:val="32"/>
        </w:rPr>
        <w:t>401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万元，</w:t>
      </w:r>
      <w:r>
        <w:rPr>
          <w:rFonts w:hint="eastAsia" w:asciiTheme="minorEastAsia" w:hAnsiTheme="minorEastAsia" w:eastAsiaTheme="minorEastAsia"/>
          <w:sz w:val="32"/>
          <w:szCs w:val="32"/>
        </w:rPr>
        <w:t>主要保障机构正常运行及正常履职需要所需支出，包括公用经费、公务交通补贴、工会经费、职工福利等。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cs="仿宋_GB2312" w:asciiTheme="minorEastAsia" w:hAnsiTheme="minorEastAsia" w:eastAsiaTheme="minorEastAsia"/>
          <w:kern w:val="0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kern w:val="0"/>
          <w:sz w:val="32"/>
          <w:szCs w:val="32"/>
        </w:rPr>
        <w:t>（二）政府采购支出情况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cs="仿宋_GB2312" w:asciiTheme="minorEastAsia" w:hAnsiTheme="minorEastAsia" w:eastAsiaTheme="minorEastAsia"/>
          <w:kern w:val="0"/>
          <w:sz w:val="32"/>
          <w:szCs w:val="32"/>
        </w:rPr>
      </w:pPr>
      <w:r>
        <w:rPr>
          <w:rFonts w:asciiTheme="minorEastAsia" w:hAnsiTheme="minorEastAsia" w:eastAsiaTheme="minorEastAsia"/>
          <w:sz w:val="32"/>
          <w:szCs w:val="32"/>
        </w:rPr>
        <w:t>20</w:t>
      </w:r>
      <w:r>
        <w:rPr>
          <w:rFonts w:hint="eastAsia" w:asciiTheme="minorEastAsia" w:hAnsiTheme="minorEastAsia" w:eastAsiaTheme="minorEastAsia"/>
          <w:sz w:val="32"/>
          <w:szCs w:val="32"/>
        </w:rPr>
        <w:t>23年政府采购预算安排0万元，其中：政府采购货物预算0万元、政府采购工程预算0万元、政府采购服务预算0万元。</w:t>
      </w:r>
    </w:p>
    <w:p>
      <w:pPr>
        <w:kinsoku w:val="0"/>
        <w:overflowPunct w:val="0"/>
        <w:adjustRightInd w:val="0"/>
        <w:snapToGrid w:val="0"/>
        <w:spacing w:line="500" w:lineRule="exact"/>
        <w:ind w:firstLine="480" w:firstLineChars="150"/>
        <w:jc w:val="left"/>
        <w:rPr>
          <w:rFonts w:cs="仿宋_GB2312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kern w:val="0"/>
          <w:sz w:val="32"/>
          <w:szCs w:val="32"/>
        </w:rPr>
        <w:t>（三）</w:t>
      </w:r>
      <w:r>
        <w:rPr>
          <w:rFonts w:hint="eastAsia" w:cs="仿宋_GB2312" w:asciiTheme="minorEastAsia" w:hAnsiTheme="minorEastAsia" w:eastAsiaTheme="minorEastAsia"/>
          <w:sz w:val="32"/>
          <w:szCs w:val="32"/>
        </w:rPr>
        <w:t>绩效目标设置情况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800" w:firstLineChars="25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我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部门2023年预算项目分别从项目产出、项目效益、项目满意度等方面设立了绩效目标，综合反映了预算的数量、质量，社会经济效益、可持续影响及服务对象满意度等情况。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cs="仿宋_GB2312" w:asciiTheme="minorEastAsia" w:hAnsiTheme="minorEastAsia" w:eastAsiaTheme="minorEastAsia"/>
          <w:kern w:val="0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kern w:val="0"/>
          <w:sz w:val="32"/>
          <w:szCs w:val="32"/>
        </w:rPr>
        <w:t>（四）国有资产占用情况。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cs="Courier New" w:asciiTheme="minorEastAsia" w:hAnsiTheme="minorEastAsia" w:eastAsiaTheme="minorEastAsia"/>
          <w:sz w:val="32"/>
          <w:szCs w:val="32"/>
        </w:rPr>
        <w:t>20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22年末，我部门共有车辆</w:t>
      </w:r>
      <w:r>
        <w:rPr>
          <w:rFonts w:hint="eastAsia" w:asciiTheme="minorEastAsia" w:hAnsiTheme="minorEastAsia" w:eastAsiaTheme="minorEastAsia"/>
          <w:sz w:val="32"/>
          <w:szCs w:val="32"/>
        </w:rPr>
        <w:t>9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辆，其中：一般公务用车</w:t>
      </w:r>
      <w:r>
        <w:rPr>
          <w:rFonts w:hint="eastAsia" w:asciiTheme="minorEastAsia" w:hAnsiTheme="minorEastAsia" w:eastAsiaTheme="minorEastAsia"/>
          <w:sz w:val="32"/>
          <w:szCs w:val="32"/>
        </w:rPr>
        <w:t>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辆、一般执法执勤用车</w:t>
      </w:r>
      <w:r>
        <w:rPr>
          <w:rFonts w:hint="eastAsia" w:asciiTheme="minorEastAsia" w:hAnsiTheme="minorEastAsia" w:eastAsiaTheme="minorEastAsia"/>
          <w:sz w:val="32"/>
          <w:szCs w:val="32"/>
        </w:rPr>
        <w:t>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辆、特种专业技术用车</w:t>
      </w:r>
      <w:r>
        <w:rPr>
          <w:rFonts w:hint="eastAsia" w:asciiTheme="minorEastAsia" w:hAnsiTheme="minorEastAsia" w:eastAsiaTheme="minorEastAsia"/>
          <w:sz w:val="32"/>
          <w:szCs w:val="32"/>
        </w:rPr>
        <w:t>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辆，其他用车</w:t>
      </w:r>
      <w:r>
        <w:rPr>
          <w:rFonts w:hint="eastAsia" w:asciiTheme="minorEastAsia" w:hAnsiTheme="minorEastAsia" w:eastAsiaTheme="minorEastAsia"/>
          <w:sz w:val="32"/>
          <w:szCs w:val="32"/>
        </w:rPr>
        <w:t>9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辆，其他用车主要用于政府机关正常运转；单价</w:t>
      </w:r>
      <w:r>
        <w:rPr>
          <w:rFonts w:cs="Courier New" w:asciiTheme="minorEastAsia" w:hAnsiTheme="minorEastAsia" w:eastAsiaTheme="minorEastAsia"/>
          <w:sz w:val="32"/>
          <w:szCs w:val="32"/>
        </w:rPr>
        <w:t>50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万元以上通用设备</w:t>
      </w:r>
      <w:r>
        <w:rPr>
          <w:rFonts w:hint="eastAsia" w:asciiTheme="minorEastAsia" w:hAnsiTheme="minorEastAsia" w:eastAsiaTheme="minorEastAsia"/>
          <w:sz w:val="32"/>
          <w:szCs w:val="32"/>
        </w:rPr>
        <w:t>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台（套），单位价值</w:t>
      </w:r>
      <w:r>
        <w:rPr>
          <w:rFonts w:cs="Courier New" w:asciiTheme="minorEastAsia" w:hAnsiTheme="minorEastAsia" w:eastAsiaTheme="minorEastAsia"/>
          <w:sz w:val="32"/>
          <w:szCs w:val="32"/>
        </w:rPr>
        <w:t>100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万元以上专用设备</w:t>
      </w:r>
      <w:r>
        <w:rPr>
          <w:rFonts w:hint="eastAsia" w:asciiTheme="minorEastAsia" w:hAnsiTheme="minorEastAsia" w:eastAsiaTheme="minorEastAsia"/>
          <w:sz w:val="32"/>
          <w:szCs w:val="32"/>
        </w:rPr>
        <w:t>0</w:t>
      </w:r>
      <w:r>
        <w:rPr>
          <w:rFonts w:hint="eastAsia" w:cs="Courier New" w:asciiTheme="minorEastAsia" w:hAnsiTheme="minorEastAsia" w:eastAsiaTheme="minorEastAsia"/>
          <w:sz w:val="32"/>
          <w:szCs w:val="32"/>
        </w:rPr>
        <w:t>台（套）。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（五）专项转移支付项目情况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我部门2023年没有专项转移支付项目。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50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</w:p>
    <w:p>
      <w:pPr>
        <w:adjustRightInd w:val="0"/>
        <w:snapToGrid w:val="0"/>
        <w:spacing w:line="500" w:lineRule="exact"/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第三部分</w:t>
      </w:r>
    </w:p>
    <w:p>
      <w:pPr>
        <w:adjustRightInd w:val="0"/>
        <w:snapToGrid w:val="0"/>
        <w:spacing w:line="500" w:lineRule="exact"/>
        <w:jc w:val="center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名词解释</w:t>
      </w:r>
    </w:p>
    <w:p>
      <w:pPr>
        <w:adjustRightInd w:val="0"/>
        <w:snapToGrid w:val="0"/>
        <w:spacing w:line="500" w:lineRule="exact"/>
        <w:jc w:val="center"/>
        <w:rPr>
          <w:rFonts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46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一、财政拨款收入：是指同级财政当年拨付的资金。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46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二、事业收入：是指事业单位开展专业活动及辅助活动所取得的收入。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46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三、其他收入：是指部门取得的除“财政拨款”、“事业收入”、“事业单位经营收入”等以外的收入。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46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四、机关运行经费：是指为保障行政单位（含参照公务员法管理的事业单位）运行用于购买货物和服务的各项资金，包括办公及印刷费、邮电费、差旅费、会议费、福利费、日常维修费及一般设备购置费、办公用房水电费、办公用房取暖费、办公用房物业管理费、公务用车运行维护费以及其他费用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46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五、用事业基金弥补收支差额：是指事业单位在当年的“财政拨款收入”、“事业收入”、“经营收入”和“其他收入”不足以安排当年支出的情况下，使用以前年度积累的事业基金（即事业单位以前各年度收支相抵后，按国家规定提取、用于弥补以后年度收支差额的基金）弥补当年收支缺口的资金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46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六、基本支出：是指为保障机构正常运转、完成日常工作任务所必需的开支，其内容包括人员经费和日常公用经费两部分。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46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七、项目支出：是指在基本支出之外，为完成特定的行政工作任务或事业发展目标所发生的支出。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460" w:lineRule="exact"/>
        <w:ind w:firstLine="640" w:firstLineChars="200"/>
        <w:rPr>
          <w:rFonts w:cs="Courier New" w:asciiTheme="minorEastAsia" w:hAnsiTheme="minorEastAsia" w:eastAsiaTheme="minorEastAsia"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sz w:val="32"/>
          <w:szCs w:val="32"/>
        </w:rPr>
        <w:t>八、“三公”经费：是指纳入同级财政预算管理，部门使用财政拨款安排的因公出国（境）费、公务用车购置及运行费和公务接待费。其中，因公出国（境）费反映单位公务出国（境）的住宿费、旅费、伙食补助费、杂费、培训费等支出；公务用车购置及运行费反映单位公务用车购置费及租用费、燃料费、维修费、过路过桥费、保险费、安全奖励费用等支出；公务接待费反映单位按规定开支的各类公务接待（含外宾接待）支出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460" w:lineRule="exact"/>
        <w:ind w:firstLine="640" w:firstLineChars="200"/>
        <w:jc w:val="center"/>
        <w:rPr>
          <w:rFonts w:hint="eastAsia" w:cs="Courier New" w:asciiTheme="minorEastAsia" w:hAnsiTheme="minorEastAsia" w:eastAsiaTheme="minorEastAsia"/>
          <w:sz w:val="32"/>
          <w:szCs w:val="32"/>
        </w:rPr>
      </w:pP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="643" w:firstLineChars="200"/>
        <w:jc w:val="center"/>
        <w:rPr>
          <w:rFonts w:hint="eastAsia" w:cs="Courier New" w:asciiTheme="minorEastAsia" w:hAnsiTheme="minorEastAsia" w:eastAsiaTheme="minorEastAsia"/>
          <w:b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b/>
          <w:sz w:val="32"/>
          <w:szCs w:val="32"/>
        </w:rPr>
        <w:t>第四部分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="643" w:firstLineChars="200"/>
        <w:jc w:val="center"/>
        <w:rPr>
          <w:rFonts w:cs="Courier New" w:asciiTheme="minorEastAsia" w:hAnsiTheme="minorEastAsia" w:eastAsiaTheme="minorEastAsia"/>
          <w:b/>
          <w:sz w:val="32"/>
          <w:szCs w:val="32"/>
        </w:rPr>
      </w:pPr>
      <w:r>
        <w:rPr>
          <w:rFonts w:hint="eastAsia" w:cs="Courier New" w:asciiTheme="minorEastAsia" w:hAnsiTheme="minorEastAsia" w:eastAsiaTheme="minorEastAsia"/>
          <w:b/>
          <w:sz w:val="32"/>
          <w:szCs w:val="32"/>
        </w:rPr>
        <w:t>附件</w:t>
      </w:r>
      <w:r>
        <w:rPr>
          <w:rFonts w:hint="eastAsia" w:cs="仿宋_GB2312" w:asciiTheme="minorEastAsia" w:hAnsiTheme="minorEastAsia" w:eastAsiaTheme="minorEastAsia"/>
          <w:b/>
          <w:sz w:val="32"/>
          <w:szCs w:val="32"/>
        </w:rPr>
        <w:t>2023年度部门预算表</w:t>
      </w:r>
    </w:p>
    <w:p>
      <w:pPr>
        <w:adjustRightInd w:val="0"/>
        <w:snapToGrid w:val="0"/>
        <w:spacing w:line="360" w:lineRule="auto"/>
        <w:rPr>
          <w:rFonts w:cs="仿宋_GB2312" w:asciiTheme="minorEastAsia" w:hAnsiTheme="minorEastAsia" w:eastAsiaTheme="minorEastAsia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  <w:sectPr>
          <w:headerReference r:id="rId3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Cs w:val="32"/>
        </w:rPr>
        <w:drawing>
          <wp:inline distT="0" distB="0" distL="0" distR="0">
            <wp:extent cx="5412105" cy="708152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708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  <w:sectPr>
          <w:pgSz w:w="11906" w:h="16838"/>
          <w:pgMar w:top="1440" w:right="1077" w:bottom="1440" w:left="1077" w:header="851" w:footer="992" w:gutter="0"/>
          <w:cols w:space="425" w:num="1"/>
          <w:docGrid w:type="linesAndChars" w:linePitch="312" w:charSpace="0"/>
        </w:sect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Cs w:val="32"/>
        </w:rPr>
        <w:drawing>
          <wp:inline distT="0" distB="0" distL="0" distR="0">
            <wp:extent cx="7517130" cy="1571625"/>
            <wp:effectExtent l="19050" t="0" r="7531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7219" cy="157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Cs w:val="32"/>
        </w:rPr>
        <w:drawing>
          <wp:inline distT="0" distB="0" distL="0" distR="0">
            <wp:extent cx="6192520" cy="229743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29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Cs w:val="32"/>
        </w:rPr>
        <w:drawing>
          <wp:inline distT="0" distB="0" distL="0" distR="0">
            <wp:extent cx="6192520" cy="56197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2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szCs w:val="32"/>
        </w:rPr>
        <w:drawing>
          <wp:inline distT="0" distB="0" distL="0" distR="0">
            <wp:extent cx="8863330" cy="32886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Cs w:val="32"/>
        </w:rPr>
        <w:drawing>
          <wp:inline distT="0" distB="0" distL="0" distR="0">
            <wp:extent cx="6192520" cy="348615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Cs w:val="32"/>
        </w:rPr>
        <w:drawing>
          <wp:inline distT="0" distB="0" distL="0" distR="0">
            <wp:extent cx="6192520" cy="427101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27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Cs w:val="32"/>
        </w:rPr>
        <w:drawing>
          <wp:inline distT="0" distB="0" distL="0" distR="0">
            <wp:extent cx="6192520" cy="165798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65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0" distR="0">
            <wp:extent cx="6192520" cy="151638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5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szCs w:val="32"/>
        </w:rPr>
        <w:drawing>
          <wp:inline distT="0" distB="0" distL="0" distR="0">
            <wp:extent cx="6192520" cy="47180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7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仿宋_GB2312" w:hAnsi="仿宋_GB2312" w:eastAsia="仿宋_GB2312" w:cs="仿宋_GB2312"/>
          <w:color w:val="FF0000"/>
          <w:sz w:val="32"/>
          <w:szCs w:val="32"/>
        </w:rPr>
        <w:sectPr>
          <w:pgSz w:w="16838" w:h="11906" w:orient="landscape"/>
          <w:pgMar w:top="1077" w:right="1440" w:bottom="1077" w:left="1440" w:header="851" w:footer="992" w:gutter="0"/>
          <w:cols w:space="425" w:num="1"/>
          <w:docGrid w:type="linesAndChars" w:linePitch="312" w:charSpace="0"/>
        </w:sectPr>
      </w:pPr>
    </w:p>
    <w:p>
      <w:pPr>
        <w:adjustRightInd w:val="0"/>
        <w:snapToGrid w:val="0"/>
        <w:spacing w:line="360" w:lineRule="auto"/>
        <w:rPr>
          <w:rFonts w:hint="eastAsia"/>
          <w:szCs w:val="32"/>
        </w:rPr>
      </w:pPr>
      <w:r>
        <w:rPr>
          <w:rFonts w:hint="eastAsia"/>
          <w:szCs w:val="32"/>
        </w:rPr>
        <w:drawing>
          <wp:inline distT="0" distB="0" distL="0" distR="0">
            <wp:extent cx="6192520" cy="8497570"/>
            <wp:effectExtent l="19050" t="0" r="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4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/>
          <w:szCs w:val="32"/>
        </w:rPr>
      </w:pPr>
    </w:p>
    <w:p>
      <w:pPr>
        <w:adjustRightInd w:val="0"/>
        <w:snapToGrid w:val="0"/>
        <w:spacing w:line="360" w:lineRule="auto"/>
        <w:rPr>
          <w:rFonts w:hint="eastAsia"/>
          <w:szCs w:val="32"/>
        </w:rPr>
      </w:pPr>
      <w:r>
        <w:rPr>
          <w:rFonts w:hint="eastAsia"/>
          <w:szCs w:val="32"/>
        </w:rPr>
        <w:drawing>
          <wp:inline distT="0" distB="0" distL="0" distR="0">
            <wp:extent cx="6192520" cy="8501380"/>
            <wp:effectExtent l="19050" t="0" r="0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5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/>
          <w:szCs w:val="32"/>
        </w:rPr>
      </w:pPr>
    </w:p>
    <w:p>
      <w:pPr>
        <w:adjustRightInd w:val="0"/>
        <w:snapToGrid w:val="0"/>
        <w:spacing w:line="360" w:lineRule="auto"/>
        <w:rPr>
          <w:szCs w:val="32"/>
        </w:rPr>
        <w:sectPr>
          <w:pgSz w:w="11906" w:h="16838"/>
          <w:pgMar w:top="1440" w:right="1077" w:bottom="1440" w:left="1077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360" w:lineRule="auto"/>
        <w:rPr>
          <w:szCs w:val="32"/>
        </w:rPr>
      </w:pPr>
      <w:r>
        <w:rPr>
          <w:rFonts w:hint="eastAsia"/>
          <w:szCs w:val="32"/>
        </w:rPr>
        <w:drawing>
          <wp:inline distT="0" distB="0" distL="0" distR="0">
            <wp:extent cx="8863330" cy="6127750"/>
            <wp:effectExtent l="1905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1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77" w:right="1440" w:bottom="107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D0B333"/>
    <w:multiLevelType w:val="singleLevel"/>
    <w:tmpl w:val="EAD0B33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D1F3AB8"/>
    <w:multiLevelType w:val="multilevel"/>
    <w:tmpl w:val="2D1F3AB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43E2796E"/>
    <w:multiLevelType w:val="multilevel"/>
    <w:tmpl w:val="43E2796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ODE1NWU2NWY1ZjYyMDFlNjE2NGExMDI5MDYwNjBiMzcifQ=="/>
  </w:docVars>
  <w:rsids>
    <w:rsidRoot w:val="006B7E0B"/>
    <w:rsid w:val="00024129"/>
    <w:rsid w:val="00026E9A"/>
    <w:rsid w:val="00044158"/>
    <w:rsid w:val="000445AA"/>
    <w:rsid w:val="000463B0"/>
    <w:rsid w:val="000642D8"/>
    <w:rsid w:val="00073592"/>
    <w:rsid w:val="00080DD7"/>
    <w:rsid w:val="0008238F"/>
    <w:rsid w:val="00091356"/>
    <w:rsid w:val="000915AA"/>
    <w:rsid w:val="000A16EC"/>
    <w:rsid w:val="000A1FF3"/>
    <w:rsid w:val="000A2C68"/>
    <w:rsid w:val="000A7C22"/>
    <w:rsid w:val="000D2294"/>
    <w:rsid w:val="000D5BBE"/>
    <w:rsid w:val="000E4880"/>
    <w:rsid w:val="000E720F"/>
    <w:rsid w:val="000F6C8B"/>
    <w:rsid w:val="0010210A"/>
    <w:rsid w:val="00110824"/>
    <w:rsid w:val="00115771"/>
    <w:rsid w:val="00115915"/>
    <w:rsid w:val="0011799F"/>
    <w:rsid w:val="00135308"/>
    <w:rsid w:val="00142115"/>
    <w:rsid w:val="001422FF"/>
    <w:rsid w:val="001470AF"/>
    <w:rsid w:val="00160C6A"/>
    <w:rsid w:val="00161B1A"/>
    <w:rsid w:val="0016521F"/>
    <w:rsid w:val="00166B16"/>
    <w:rsid w:val="00170A57"/>
    <w:rsid w:val="00172B5F"/>
    <w:rsid w:val="00175E9C"/>
    <w:rsid w:val="00184A45"/>
    <w:rsid w:val="00186BD2"/>
    <w:rsid w:val="00193277"/>
    <w:rsid w:val="001A21DA"/>
    <w:rsid w:val="001A2751"/>
    <w:rsid w:val="001A3EB9"/>
    <w:rsid w:val="001B0AF0"/>
    <w:rsid w:val="001B470C"/>
    <w:rsid w:val="001D4BA6"/>
    <w:rsid w:val="001D7273"/>
    <w:rsid w:val="001E0093"/>
    <w:rsid w:val="001E0F8C"/>
    <w:rsid w:val="001E1638"/>
    <w:rsid w:val="001E7927"/>
    <w:rsid w:val="001F7F9B"/>
    <w:rsid w:val="00200BD7"/>
    <w:rsid w:val="00202EA8"/>
    <w:rsid w:val="002030EF"/>
    <w:rsid w:val="002510C2"/>
    <w:rsid w:val="002531FB"/>
    <w:rsid w:val="0025771C"/>
    <w:rsid w:val="00265B28"/>
    <w:rsid w:val="0026795F"/>
    <w:rsid w:val="00273D47"/>
    <w:rsid w:val="002750D3"/>
    <w:rsid w:val="0029168C"/>
    <w:rsid w:val="00291ADD"/>
    <w:rsid w:val="002A620A"/>
    <w:rsid w:val="002B2025"/>
    <w:rsid w:val="002C2A80"/>
    <w:rsid w:val="002C46FB"/>
    <w:rsid w:val="002C5AAE"/>
    <w:rsid w:val="002E3BE4"/>
    <w:rsid w:val="002E4313"/>
    <w:rsid w:val="002E49F4"/>
    <w:rsid w:val="002F22D2"/>
    <w:rsid w:val="002F3BB6"/>
    <w:rsid w:val="003352BA"/>
    <w:rsid w:val="00336785"/>
    <w:rsid w:val="00350476"/>
    <w:rsid w:val="0035195B"/>
    <w:rsid w:val="0035776D"/>
    <w:rsid w:val="00373C09"/>
    <w:rsid w:val="00375729"/>
    <w:rsid w:val="003843F7"/>
    <w:rsid w:val="00390DEF"/>
    <w:rsid w:val="00392E25"/>
    <w:rsid w:val="00395395"/>
    <w:rsid w:val="003A0434"/>
    <w:rsid w:val="003A2DF5"/>
    <w:rsid w:val="003A6F18"/>
    <w:rsid w:val="003C5F21"/>
    <w:rsid w:val="003D744D"/>
    <w:rsid w:val="003E4573"/>
    <w:rsid w:val="003E56DE"/>
    <w:rsid w:val="003E74CD"/>
    <w:rsid w:val="00401345"/>
    <w:rsid w:val="00404663"/>
    <w:rsid w:val="004062F5"/>
    <w:rsid w:val="00410244"/>
    <w:rsid w:val="00420855"/>
    <w:rsid w:val="00432539"/>
    <w:rsid w:val="00451611"/>
    <w:rsid w:val="0047756A"/>
    <w:rsid w:val="00494F22"/>
    <w:rsid w:val="00495611"/>
    <w:rsid w:val="00495CEB"/>
    <w:rsid w:val="00496B7C"/>
    <w:rsid w:val="004974DC"/>
    <w:rsid w:val="004A35D2"/>
    <w:rsid w:val="004A4265"/>
    <w:rsid w:val="004A7AF2"/>
    <w:rsid w:val="004B0F47"/>
    <w:rsid w:val="004B1819"/>
    <w:rsid w:val="004C001F"/>
    <w:rsid w:val="004C13EB"/>
    <w:rsid w:val="004D305F"/>
    <w:rsid w:val="004D53F1"/>
    <w:rsid w:val="004D5B4E"/>
    <w:rsid w:val="004E7ED1"/>
    <w:rsid w:val="004F068A"/>
    <w:rsid w:val="004F1BCB"/>
    <w:rsid w:val="004F3DF3"/>
    <w:rsid w:val="00500553"/>
    <w:rsid w:val="00511219"/>
    <w:rsid w:val="00512BF5"/>
    <w:rsid w:val="00521104"/>
    <w:rsid w:val="0052193A"/>
    <w:rsid w:val="00523976"/>
    <w:rsid w:val="0054046E"/>
    <w:rsid w:val="005530BF"/>
    <w:rsid w:val="00556950"/>
    <w:rsid w:val="00563E46"/>
    <w:rsid w:val="00567364"/>
    <w:rsid w:val="00574759"/>
    <w:rsid w:val="00577C4A"/>
    <w:rsid w:val="00577F81"/>
    <w:rsid w:val="00591F1A"/>
    <w:rsid w:val="00593810"/>
    <w:rsid w:val="00594E25"/>
    <w:rsid w:val="005B1D55"/>
    <w:rsid w:val="005B5A00"/>
    <w:rsid w:val="005C4D0C"/>
    <w:rsid w:val="005D1138"/>
    <w:rsid w:val="005D30D9"/>
    <w:rsid w:val="00600B18"/>
    <w:rsid w:val="0060297E"/>
    <w:rsid w:val="0063203B"/>
    <w:rsid w:val="0064056E"/>
    <w:rsid w:val="00647DE6"/>
    <w:rsid w:val="006607FF"/>
    <w:rsid w:val="00662E14"/>
    <w:rsid w:val="00666AC4"/>
    <w:rsid w:val="0067124D"/>
    <w:rsid w:val="00672799"/>
    <w:rsid w:val="00680781"/>
    <w:rsid w:val="006B1909"/>
    <w:rsid w:val="006B49B5"/>
    <w:rsid w:val="006B7E0B"/>
    <w:rsid w:val="006C3CD3"/>
    <w:rsid w:val="006C7564"/>
    <w:rsid w:val="006D6D49"/>
    <w:rsid w:val="006E4BF1"/>
    <w:rsid w:val="006F5265"/>
    <w:rsid w:val="006F5EEE"/>
    <w:rsid w:val="00700744"/>
    <w:rsid w:val="0071044E"/>
    <w:rsid w:val="00730F26"/>
    <w:rsid w:val="0073591F"/>
    <w:rsid w:val="007541DA"/>
    <w:rsid w:val="0076117D"/>
    <w:rsid w:val="007656BD"/>
    <w:rsid w:val="007740BF"/>
    <w:rsid w:val="007829BC"/>
    <w:rsid w:val="007866A9"/>
    <w:rsid w:val="0079641C"/>
    <w:rsid w:val="007B5898"/>
    <w:rsid w:val="007B5EA4"/>
    <w:rsid w:val="007C1DF1"/>
    <w:rsid w:val="007C2AA9"/>
    <w:rsid w:val="007C788C"/>
    <w:rsid w:val="007D0158"/>
    <w:rsid w:val="007E6790"/>
    <w:rsid w:val="007E6CD6"/>
    <w:rsid w:val="007F7E98"/>
    <w:rsid w:val="00804322"/>
    <w:rsid w:val="008043D9"/>
    <w:rsid w:val="008122D8"/>
    <w:rsid w:val="00812F5C"/>
    <w:rsid w:val="00820FF9"/>
    <w:rsid w:val="0082241C"/>
    <w:rsid w:val="00827E94"/>
    <w:rsid w:val="00830E30"/>
    <w:rsid w:val="00833702"/>
    <w:rsid w:val="00833DBE"/>
    <w:rsid w:val="00850CE1"/>
    <w:rsid w:val="00852299"/>
    <w:rsid w:val="008575B7"/>
    <w:rsid w:val="00860A29"/>
    <w:rsid w:val="008651B4"/>
    <w:rsid w:val="00874331"/>
    <w:rsid w:val="00891536"/>
    <w:rsid w:val="008931A5"/>
    <w:rsid w:val="0089458A"/>
    <w:rsid w:val="00894D24"/>
    <w:rsid w:val="00897148"/>
    <w:rsid w:val="008A2EC8"/>
    <w:rsid w:val="008B72D5"/>
    <w:rsid w:val="008C14BF"/>
    <w:rsid w:val="008C7AD8"/>
    <w:rsid w:val="008D01B3"/>
    <w:rsid w:val="008D6560"/>
    <w:rsid w:val="008E07B1"/>
    <w:rsid w:val="008E2435"/>
    <w:rsid w:val="008E4459"/>
    <w:rsid w:val="00913453"/>
    <w:rsid w:val="00916CD9"/>
    <w:rsid w:val="00923B00"/>
    <w:rsid w:val="009242BF"/>
    <w:rsid w:val="00926E26"/>
    <w:rsid w:val="00943D7C"/>
    <w:rsid w:val="00944A2D"/>
    <w:rsid w:val="00951DEF"/>
    <w:rsid w:val="00952BFE"/>
    <w:rsid w:val="00964FE2"/>
    <w:rsid w:val="009673FC"/>
    <w:rsid w:val="009705D0"/>
    <w:rsid w:val="009821A1"/>
    <w:rsid w:val="00987FE0"/>
    <w:rsid w:val="009943AA"/>
    <w:rsid w:val="009A520C"/>
    <w:rsid w:val="009B7A51"/>
    <w:rsid w:val="009D3206"/>
    <w:rsid w:val="009E6D07"/>
    <w:rsid w:val="00A14701"/>
    <w:rsid w:val="00A216E6"/>
    <w:rsid w:val="00A32174"/>
    <w:rsid w:val="00A330EC"/>
    <w:rsid w:val="00A34341"/>
    <w:rsid w:val="00A35A79"/>
    <w:rsid w:val="00A46E26"/>
    <w:rsid w:val="00A503E7"/>
    <w:rsid w:val="00A52337"/>
    <w:rsid w:val="00A52801"/>
    <w:rsid w:val="00A559A6"/>
    <w:rsid w:val="00A6267D"/>
    <w:rsid w:val="00A727EB"/>
    <w:rsid w:val="00A75D61"/>
    <w:rsid w:val="00A87DCF"/>
    <w:rsid w:val="00A90D9E"/>
    <w:rsid w:val="00A96CAF"/>
    <w:rsid w:val="00AB140F"/>
    <w:rsid w:val="00AC3C61"/>
    <w:rsid w:val="00AE549A"/>
    <w:rsid w:val="00AF2C02"/>
    <w:rsid w:val="00B02CB9"/>
    <w:rsid w:val="00B10D6F"/>
    <w:rsid w:val="00B15153"/>
    <w:rsid w:val="00B20C5F"/>
    <w:rsid w:val="00B21967"/>
    <w:rsid w:val="00B45ABE"/>
    <w:rsid w:val="00B61D47"/>
    <w:rsid w:val="00B671D3"/>
    <w:rsid w:val="00B91C4F"/>
    <w:rsid w:val="00B95A06"/>
    <w:rsid w:val="00BA362F"/>
    <w:rsid w:val="00BA4FA7"/>
    <w:rsid w:val="00BA58CE"/>
    <w:rsid w:val="00BA7185"/>
    <w:rsid w:val="00BB6662"/>
    <w:rsid w:val="00BC333E"/>
    <w:rsid w:val="00BE56FB"/>
    <w:rsid w:val="00BE6A57"/>
    <w:rsid w:val="00BE716F"/>
    <w:rsid w:val="00C02D90"/>
    <w:rsid w:val="00C222D8"/>
    <w:rsid w:val="00C33C76"/>
    <w:rsid w:val="00C34784"/>
    <w:rsid w:val="00C37719"/>
    <w:rsid w:val="00C41584"/>
    <w:rsid w:val="00C435CB"/>
    <w:rsid w:val="00C436B8"/>
    <w:rsid w:val="00C437E8"/>
    <w:rsid w:val="00C72BF7"/>
    <w:rsid w:val="00C831C5"/>
    <w:rsid w:val="00C83F94"/>
    <w:rsid w:val="00C958EE"/>
    <w:rsid w:val="00CA2F8F"/>
    <w:rsid w:val="00CA7ADA"/>
    <w:rsid w:val="00CB3108"/>
    <w:rsid w:val="00CB5AAE"/>
    <w:rsid w:val="00CB6DF5"/>
    <w:rsid w:val="00CD03AD"/>
    <w:rsid w:val="00CE3259"/>
    <w:rsid w:val="00CE6F70"/>
    <w:rsid w:val="00CF0674"/>
    <w:rsid w:val="00CF1B5A"/>
    <w:rsid w:val="00CF646F"/>
    <w:rsid w:val="00D05ED0"/>
    <w:rsid w:val="00D12D03"/>
    <w:rsid w:val="00D137BC"/>
    <w:rsid w:val="00D15C54"/>
    <w:rsid w:val="00D23117"/>
    <w:rsid w:val="00D24D4D"/>
    <w:rsid w:val="00D32932"/>
    <w:rsid w:val="00D37855"/>
    <w:rsid w:val="00D43363"/>
    <w:rsid w:val="00D4466F"/>
    <w:rsid w:val="00D46069"/>
    <w:rsid w:val="00D53D97"/>
    <w:rsid w:val="00D6074A"/>
    <w:rsid w:val="00D609B7"/>
    <w:rsid w:val="00D6792C"/>
    <w:rsid w:val="00D73E83"/>
    <w:rsid w:val="00D8037E"/>
    <w:rsid w:val="00D8505C"/>
    <w:rsid w:val="00DA0C53"/>
    <w:rsid w:val="00DA0CAA"/>
    <w:rsid w:val="00DA458E"/>
    <w:rsid w:val="00DA6E83"/>
    <w:rsid w:val="00DB68B2"/>
    <w:rsid w:val="00DB7C21"/>
    <w:rsid w:val="00DC0C6B"/>
    <w:rsid w:val="00DC3D97"/>
    <w:rsid w:val="00DC6FBB"/>
    <w:rsid w:val="00DC798D"/>
    <w:rsid w:val="00DF0DA6"/>
    <w:rsid w:val="00DF3140"/>
    <w:rsid w:val="00E07B7B"/>
    <w:rsid w:val="00E133A9"/>
    <w:rsid w:val="00E20A7D"/>
    <w:rsid w:val="00E20E6F"/>
    <w:rsid w:val="00E21F3E"/>
    <w:rsid w:val="00E31EE0"/>
    <w:rsid w:val="00E33EBB"/>
    <w:rsid w:val="00E36AE5"/>
    <w:rsid w:val="00E371FE"/>
    <w:rsid w:val="00E3795E"/>
    <w:rsid w:val="00E37B7D"/>
    <w:rsid w:val="00E57174"/>
    <w:rsid w:val="00E57C5A"/>
    <w:rsid w:val="00E607D3"/>
    <w:rsid w:val="00E72785"/>
    <w:rsid w:val="00E776E0"/>
    <w:rsid w:val="00E913EB"/>
    <w:rsid w:val="00EC1A97"/>
    <w:rsid w:val="00EC2B0B"/>
    <w:rsid w:val="00ED5B3D"/>
    <w:rsid w:val="00EE543C"/>
    <w:rsid w:val="00EF42A2"/>
    <w:rsid w:val="00F0089D"/>
    <w:rsid w:val="00F2113A"/>
    <w:rsid w:val="00F2137C"/>
    <w:rsid w:val="00F4533D"/>
    <w:rsid w:val="00F51FB3"/>
    <w:rsid w:val="00F63B53"/>
    <w:rsid w:val="00F754BD"/>
    <w:rsid w:val="00F775CD"/>
    <w:rsid w:val="00F77A8C"/>
    <w:rsid w:val="00F950F8"/>
    <w:rsid w:val="00FA0A5A"/>
    <w:rsid w:val="00FB158E"/>
    <w:rsid w:val="00FB1636"/>
    <w:rsid w:val="00FC100B"/>
    <w:rsid w:val="00FD0777"/>
    <w:rsid w:val="00FD6C1F"/>
    <w:rsid w:val="00FD729D"/>
    <w:rsid w:val="05532A0D"/>
    <w:rsid w:val="10B1653D"/>
    <w:rsid w:val="14B962E5"/>
    <w:rsid w:val="189C68A9"/>
    <w:rsid w:val="1AA05907"/>
    <w:rsid w:val="1AA556D9"/>
    <w:rsid w:val="1E107DD1"/>
    <w:rsid w:val="2BC2096A"/>
    <w:rsid w:val="2C35005E"/>
    <w:rsid w:val="2CB847EB"/>
    <w:rsid w:val="2E112405"/>
    <w:rsid w:val="2E5859B2"/>
    <w:rsid w:val="2FC73D1B"/>
    <w:rsid w:val="3171432E"/>
    <w:rsid w:val="33EF31E8"/>
    <w:rsid w:val="35610116"/>
    <w:rsid w:val="3B007A89"/>
    <w:rsid w:val="3EBF7D18"/>
    <w:rsid w:val="3FEC3BE7"/>
    <w:rsid w:val="43D62EB7"/>
    <w:rsid w:val="49290AF3"/>
    <w:rsid w:val="4B911B6E"/>
    <w:rsid w:val="54A35BFD"/>
    <w:rsid w:val="55ED6C72"/>
    <w:rsid w:val="5B131D9A"/>
    <w:rsid w:val="72BA4DCB"/>
    <w:rsid w:val="79111DCE"/>
    <w:rsid w:val="795D3D1D"/>
    <w:rsid w:val="7CF33A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99"/>
    <w:rPr>
      <w:rFonts w:ascii="宋体" w:hAnsi="Courier New" w:cs="Courier New"/>
      <w:szCs w:val="21"/>
    </w:rPr>
  </w:style>
  <w:style w:type="paragraph" w:styleId="3">
    <w:name w:val="Balloon Text"/>
    <w:basedOn w:val="1"/>
    <w:link w:val="9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customStyle="1" w:styleId="9">
    <w:name w:val="批注框文本 Char"/>
    <w:link w:val="3"/>
    <w:semiHidden/>
    <w:qFormat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脚 Char"/>
    <w:link w:val="4"/>
    <w:qFormat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眉 Char"/>
    <w:link w:val="5"/>
    <w:qFormat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纯文本 Char"/>
    <w:link w:val="2"/>
    <w:semiHidden/>
    <w:qFormat/>
    <w:locked/>
    <w:uiPriority w:val="99"/>
    <w:rPr>
      <w:rFonts w:ascii="宋体" w:hAnsi="Courier New" w:cs="Courier New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emf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emf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21</Pages>
  <Words>2568</Words>
  <Characters>2784</Characters>
  <Lines>21</Lines>
  <Paragraphs>6</Paragraphs>
  <TotalTime>218</TotalTime>
  <ScaleCrop>false</ScaleCrop>
  <LinksUpToDate>false</LinksUpToDate>
  <CharactersWithSpaces>2794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2019-06-11T00:19:00Z</dcterms:created>
  <dc:creator>lenovo</dc:creator>
  <cp:lastModifiedBy>涓涓细流</cp:lastModifiedBy>
  <cp:lastPrinted>2023-07-20T08:00:00Z</cp:lastPrinted>
  <dcterms:modified xsi:type="dcterms:W3CDTF">2023-07-20T08:11:43Z</dcterms:modified>
  <cp:revision>210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97D0D5BCA2FF4A6CBD5543D35C04A45B</vt:lpwstr>
  </property>
</Properties>
</file>