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eastAsia="黑体"/>
          <w:sz w:val="28"/>
          <w:highlight w:val="none"/>
        </w:rPr>
      </w:pPr>
      <w:r>
        <w:rPr>
          <w:rFonts w:hint="eastAsia" w:ascii="黑体" w:eastAsia="黑体"/>
          <w:sz w:val="28"/>
          <w:highlight w:val="none"/>
        </w:rPr>
        <w:t>安阳市龙安区</w:t>
      </w:r>
      <w:r>
        <w:rPr>
          <w:rFonts w:hint="eastAsia" w:ascii="黑体" w:eastAsia="黑体"/>
          <w:sz w:val="28"/>
          <w:highlight w:val="none"/>
          <w:lang w:eastAsia="zh-CN"/>
        </w:rPr>
        <w:t>五</w:t>
      </w:r>
      <w:r>
        <w:rPr>
          <w:rFonts w:hint="eastAsia" w:eastAsia="黑体"/>
          <w:sz w:val="28"/>
          <w:highlight w:val="none"/>
        </w:rPr>
        <w:t>届人大</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eastAsia="黑体"/>
          <w:spacing w:val="-8"/>
          <w:sz w:val="28"/>
          <w:highlight w:val="none"/>
          <w:lang w:eastAsia="zh-CN"/>
        </w:rPr>
      </w:pPr>
      <w:r>
        <w:rPr>
          <w:rFonts w:hint="eastAsia" w:ascii="黑体" w:eastAsia="黑体"/>
          <w:spacing w:val="-9"/>
          <w:sz w:val="28"/>
          <w:highlight w:val="none"/>
          <w:lang w:eastAsia="zh-CN"/>
        </w:rPr>
        <w:t>三</w:t>
      </w:r>
      <w:r>
        <w:rPr>
          <w:rFonts w:hint="eastAsia" w:ascii="黑体" w:eastAsia="黑体"/>
          <w:spacing w:val="-9"/>
          <w:sz w:val="28"/>
          <w:highlight w:val="none"/>
        </w:rPr>
        <w:t>次</w:t>
      </w:r>
      <w:r>
        <w:rPr>
          <w:rFonts w:hint="eastAsia" w:ascii="黑体" w:eastAsia="黑体"/>
          <w:spacing w:val="-9"/>
          <w:sz w:val="28"/>
          <w:highlight w:val="none"/>
          <w:lang w:val="en-US" w:eastAsia="zh-CN"/>
        </w:rPr>
        <w:t xml:space="preserve"> </w:t>
      </w:r>
      <w:r>
        <w:rPr>
          <w:rFonts w:hint="eastAsia" w:ascii="黑体" w:eastAsia="黑体"/>
          <w:spacing w:val="-9"/>
          <w:sz w:val="28"/>
          <w:highlight w:val="none"/>
        </w:rPr>
        <w:t>会</w:t>
      </w:r>
      <w:r>
        <w:rPr>
          <w:rFonts w:hint="eastAsia" w:ascii="黑体" w:eastAsia="黑体"/>
          <w:spacing w:val="-9"/>
          <w:sz w:val="28"/>
          <w:highlight w:val="none"/>
          <w:lang w:val="en-US" w:eastAsia="zh-CN"/>
        </w:rPr>
        <w:t xml:space="preserve"> </w:t>
      </w:r>
      <w:r>
        <w:rPr>
          <w:rFonts w:hint="eastAsia" w:ascii="黑体" w:eastAsia="黑体"/>
          <w:spacing w:val="-9"/>
          <w:sz w:val="28"/>
          <w:highlight w:val="none"/>
        </w:rPr>
        <w:t>议</w:t>
      </w:r>
      <w:r>
        <w:rPr>
          <w:rFonts w:hint="eastAsia" w:ascii="黑体" w:eastAsia="黑体"/>
          <w:spacing w:val="-9"/>
          <w:sz w:val="28"/>
          <w:highlight w:val="none"/>
          <w:lang w:val="en-US" w:eastAsia="zh-CN"/>
        </w:rPr>
        <w:t xml:space="preserve"> </w:t>
      </w:r>
      <w:r>
        <w:rPr>
          <w:rFonts w:hint="eastAsia" w:ascii="黑体" w:eastAsia="黑体"/>
          <w:spacing w:val="-9"/>
          <w:sz w:val="28"/>
          <w:highlight w:val="none"/>
        </w:rPr>
        <w:t>文</w:t>
      </w:r>
      <w:r>
        <w:rPr>
          <w:rFonts w:hint="eastAsia" w:ascii="黑体" w:eastAsia="黑体"/>
          <w:spacing w:val="-9"/>
          <w:sz w:val="28"/>
          <w:highlight w:val="none"/>
          <w:lang w:val="en-US" w:eastAsia="zh-CN"/>
        </w:rPr>
        <w:t xml:space="preserve"> </w:t>
      </w:r>
      <w:r>
        <w:rPr>
          <w:rFonts w:hint="eastAsia" w:ascii="黑体" w:eastAsia="黑体"/>
          <w:spacing w:val="-9"/>
          <w:sz w:val="28"/>
          <w:highlight w:val="none"/>
        </w:rPr>
        <w:t>件</w:t>
      </w:r>
      <w:r>
        <w:rPr>
          <w:rFonts w:hint="eastAsia" w:ascii="黑体" w:eastAsia="黑体"/>
          <w:spacing w:val="-9"/>
          <w:sz w:val="28"/>
          <w:highlight w:val="none"/>
          <w:lang w:eastAsia="zh-CN"/>
        </w:rPr>
        <w:t>（</w:t>
      </w:r>
      <w:r>
        <w:rPr>
          <w:rFonts w:hint="eastAsia" w:ascii="黑体" w:eastAsia="黑体"/>
          <w:spacing w:val="-9"/>
          <w:sz w:val="28"/>
          <w:highlight w:val="none"/>
          <w:lang w:val="en-US" w:eastAsia="zh-CN"/>
        </w:rPr>
        <w:t>19</w:t>
      </w:r>
      <w:r>
        <w:rPr>
          <w:rFonts w:hint="eastAsia" w:ascii="黑体" w:eastAsia="黑体"/>
          <w:spacing w:val="-9"/>
          <w:sz w:val="28"/>
          <w:highlight w:val="none"/>
          <w:lang w:eastAsia="zh-CN"/>
        </w:rPr>
        <w:t>）</w:t>
      </w:r>
    </w:p>
    <w:p>
      <w:pPr>
        <w:spacing w:line="560" w:lineRule="exact"/>
        <w:jc w:val="center"/>
        <w:rPr>
          <w:rFonts w:asciiTheme="minorEastAsia" w:hAnsiTheme="minorEastAsia" w:eastAsiaTheme="minorEastAsia" w:cstheme="minorEastAsia"/>
          <w:color w:val="000000" w:themeColor="text1"/>
          <w:spacing w:val="-17"/>
          <w:szCs w:val="21"/>
          <w:highlight w:val="none"/>
          <w14:textFill>
            <w14:solidFill>
              <w14:schemeClr w14:val="tx1"/>
            </w14:solidFill>
          </w14:textFill>
        </w:rPr>
      </w:pPr>
    </w:p>
    <w:p>
      <w:pPr>
        <w:spacing w:line="700" w:lineRule="exact"/>
        <w:jc w:val="center"/>
        <w:rPr>
          <w:rFonts w:hint="eastAsia" w:ascii="方正小标宋简体" w:hAnsi="方正小标宋简体" w:eastAsia="方正小标宋简体" w:cs="方正小标宋简体"/>
          <w:color w:val="000000" w:themeColor="text1"/>
          <w:spacing w:val="-17"/>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pacing w:val="-17"/>
          <w:sz w:val="44"/>
          <w:szCs w:val="44"/>
          <w:highlight w:val="none"/>
          <w14:textFill>
            <w14:solidFill>
              <w14:schemeClr w14:val="tx1"/>
            </w14:solidFill>
          </w14:textFill>
        </w:rPr>
        <w:t>关于安阳市龙安区202</w:t>
      </w:r>
      <w:r>
        <w:rPr>
          <w:rFonts w:hint="eastAsia" w:ascii="方正小标宋简体" w:hAnsi="方正小标宋简体" w:eastAsia="方正小标宋简体" w:cs="方正小标宋简体"/>
          <w:color w:val="000000" w:themeColor="text1"/>
          <w:spacing w:val="-17"/>
          <w:sz w:val="44"/>
          <w:szCs w:val="44"/>
          <w:highlight w:val="none"/>
          <w:lang w:val="en-US" w:eastAsia="zh-CN"/>
          <w14:textFill>
            <w14:solidFill>
              <w14:schemeClr w14:val="tx1"/>
            </w14:solidFill>
          </w14:textFill>
        </w:rPr>
        <w:t>2</w:t>
      </w:r>
      <w:r>
        <w:rPr>
          <w:rFonts w:hint="eastAsia" w:ascii="方正小标宋简体" w:hAnsi="方正小标宋简体" w:eastAsia="方正小标宋简体" w:cs="方正小标宋简体"/>
          <w:color w:val="000000" w:themeColor="text1"/>
          <w:spacing w:val="-17"/>
          <w:sz w:val="44"/>
          <w:szCs w:val="44"/>
          <w:highlight w:val="none"/>
          <w14:textFill>
            <w14:solidFill>
              <w14:schemeClr w14:val="tx1"/>
            </w14:solidFill>
          </w14:textFill>
        </w:rPr>
        <w:t>年财政预算执行情况和202</w:t>
      </w:r>
      <w:r>
        <w:rPr>
          <w:rFonts w:hint="eastAsia" w:ascii="方正小标宋简体" w:hAnsi="方正小标宋简体" w:eastAsia="方正小标宋简体" w:cs="方正小标宋简体"/>
          <w:color w:val="000000" w:themeColor="text1"/>
          <w:spacing w:val="-17"/>
          <w:sz w:val="44"/>
          <w:szCs w:val="44"/>
          <w:highlight w:val="none"/>
          <w:lang w:val="en-US" w:eastAsia="zh-CN"/>
          <w14:textFill>
            <w14:solidFill>
              <w14:schemeClr w14:val="tx1"/>
            </w14:solidFill>
          </w14:textFill>
        </w:rPr>
        <w:t>3</w:t>
      </w:r>
      <w:r>
        <w:rPr>
          <w:rFonts w:hint="eastAsia" w:ascii="方正小标宋简体" w:hAnsi="方正小标宋简体" w:eastAsia="方正小标宋简体" w:cs="方正小标宋简体"/>
          <w:color w:val="000000" w:themeColor="text1"/>
          <w:spacing w:val="-17"/>
          <w:sz w:val="44"/>
          <w:szCs w:val="44"/>
          <w:highlight w:val="none"/>
          <w14:textFill>
            <w14:solidFill>
              <w14:schemeClr w14:val="tx1"/>
            </w14:solidFill>
          </w14:textFill>
        </w:rPr>
        <w:t>年财政预算（草案）的报告</w:t>
      </w:r>
    </w:p>
    <w:p>
      <w:pPr>
        <w:tabs>
          <w:tab w:val="left" w:pos="840"/>
        </w:tabs>
        <w:spacing w:before="312" w:beforeLines="100" w:line="580" w:lineRule="exact"/>
        <w:jc w:val="center"/>
        <w:rPr>
          <w:rFonts w:hint="eastAsia" w:ascii="楷体_GB2312" w:hAnsi="楷体" w:eastAsia="楷体_GB2312" w:cs="楷体"/>
          <w:color w:val="000000" w:themeColor="text1"/>
          <w:sz w:val="32"/>
          <w:szCs w:val="32"/>
          <w:highlight w:val="none"/>
          <w14:textFill>
            <w14:solidFill>
              <w14:schemeClr w14:val="tx1"/>
            </w14:solidFill>
          </w14:textFill>
        </w:rPr>
      </w:pPr>
      <w:r>
        <w:rPr>
          <w:rFonts w:hint="eastAsia" w:ascii="楷体_GB2312" w:hAnsi="楷体" w:eastAsia="楷体_GB2312" w:cs="楷体"/>
          <w:color w:val="000000" w:themeColor="text1"/>
          <w:sz w:val="32"/>
          <w:szCs w:val="32"/>
          <w:highlight w:val="none"/>
          <w14:textFill>
            <w14:solidFill>
              <w14:schemeClr w14:val="tx1"/>
            </w14:solidFill>
          </w14:textFill>
        </w:rPr>
        <w:t>——202</w:t>
      </w:r>
      <w:r>
        <w:rPr>
          <w:rFonts w:hint="eastAsia" w:ascii="楷体_GB2312" w:hAnsi="楷体" w:eastAsia="楷体_GB2312" w:cs="楷体"/>
          <w:color w:val="000000" w:themeColor="text1"/>
          <w:sz w:val="32"/>
          <w:szCs w:val="32"/>
          <w:highlight w:val="none"/>
          <w:lang w:val="en-US" w:eastAsia="zh-CN"/>
          <w14:textFill>
            <w14:solidFill>
              <w14:schemeClr w14:val="tx1"/>
            </w14:solidFill>
          </w14:textFill>
        </w:rPr>
        <w:t>3</w:t>
      </w:r>
      <w:r>
        <w:rPr>
          <w:rFonts w:hint="eastAsia" w:ascii="楷体_GB2312" w:hAnsi="楷体" w:eastAsia="楷体_GB2312" w:cs="楷体"/>
          <w:color w:val="000000" w:themeColor="text1"/>
          <w:sz w:val="32"/>
          <w:szCs w:val="32"/>
          <w:highlight w:val="none"/>
          <w14:textFill>
            <w14:solidFill>
              <w14:schemeClr w14:val="tx1"/>
            </w14:solidFill>
          </w14:textFill>
        </w:rPr>
        <w:t>年4</w:t>
      </w:r>
      <w:r>
        <w:rPr>
          <w:rFonts w:hint="eastAsia" w:ascii="楷体_GB2312" w:hAnsi="楷体" w:eastAsia="楷体_GB2312" w:cs="楷体"/>
          <w:color w:val="000000" w:themeColor="text1"/>
          <w:sz w:val="32"/>
          <w:szCs w:val="32"/>
          <w:highlight w:val="none"/>
          <w:lang w:eastAsia="zh-CN"/>
          <w14:textFill>
            <w14:solidFill>
              <w14:schemeClr w14:val="tx1"/>
            </w14:solidFill>
          </w14:textFill>
        </w:rPr>
        <w:t>月</w:t>
      </w:r>
      <w:r>
        <w:rPr>
          <w:rFonts w:hint="eastAsia" w:ascii="楷体_GB2312" w:hAnsi="楷体" w:eastAsia="楷体_GB2312" w:cs="楷体"/>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8</w:t>
      </w:r>
      <w:r>
        <w:rPr>
          <w:rFonts w:hint="eastAsia" w:ascii="楷体_GB2312" w:hAnsi="楷体" w:eastAsia="楷体_GB2312" w:cs="楷体"/>
          <w:color w:val="000000" w:themeColor="text1"/>
          <w:sz w:val="32"/>
          <w:szCs w:val="32"/>
          <w:highlight w:val="none"/>
          <w14:textFill>
            <w14:solidFill>
              <w14:schemeClr w14:val="tx1"/>
            </w14:solidFill>
          </w14:textFill>
        </w:rPr>
        <w:t>日在安阳市龙安区</w:t>
      </w:r>
      <w:r>
        <w:rPr>
          <w:rFonts w:hint="eastAsia" w:ascii="楷体_GB2312" w:hAnsi="楷体" w:eastAsia="楷体_GB2312" w:cs="楷体"/>
          <w:color w:val="000000" w:themeColor="text1"/>
          <w:sz w:val="32"/>
          <w:szCs w:val="32"/>
          <w:highlight w:val="none"/>
          <w:lang w:eastAsia="zh-CN"/>
          <w14:textFill>
            <w14:solidFill>
              <w14:schemeClr w14:val="tx1"/>
            </w14:solidFill>
          </w14:textFill>
        </w:rPr>
        <w:t>五</w:t>
      </w:r>
      <w:r>
        <w:rPr>
          <w:rFonts w:hint="eastAsia" w:ascii="楷体_GB2312" w:hAnsi="楷体" w:eastAsia="楷体_GB2312" w:cs="楷体"/>
          <w:color w:val="000000" w:themeColor="text1"/>
          <w:sz w:val="32"/>
          <w:szCs w:val="32"/>
          <w:highlight w:val="none"/>
          <w14:textFill>
            <w14:solidFill>
              <w14:schemeClr w14:val="tx1"/>
            </w14:solidFill>
          </w14:textFill>
        </w:rPr>
        <w:t>届人大</w:t>
      </w:r>
      <w:r>
        <w:rPr>
          <w:rFonts w:hint="eastAsia" w:ascii="楷体_GB2312" w:hAnsi="楷体" w:eastAsia="楷体_GB2312" w:cs="楷体"/>
          <w:color w:val="000000" w:themeColor="text1"/>
          <w:sz w:val="32"/>
          <w:szCs w:val="32"/>
          <w:highlight w:val="none"/>
          <w:lang w:eastAsia="zh-CN"/>
          <w14:textFill>
            <w14:solidFill>
              <w14:schemeClr w14:val="tx1"/>
            </w14:solidFill>
          </w14:textFill>
        </w:rPr>
        <w:t>三</w:t>
      </w:r>
      <w:r>
        <w:rPr>
          <w:rFonts w:hint="eastAsia" w:ascii="楷体_GB2312" w:hAnsi="楷体" w:eastAsia="楷体_GB2312" w:cs="楷体"/>
          <w:color w:val="000000" w:themeColor="text1"/>
          <w:sz w:val="32"/>
          <w:szCs w:val="32"/>
          <w:highlight w:val="none"/>
          <w14:textFill>
            <w14:solidFill>
              <w14:schemeClr w14:val="tx1"/>
            </w14:solidFill>
          </w14:textFill>
        </w:rPr>
        <w:t>次会议上</w:t>
      </w:r>
    </w:p>
    <w:p>
      <w:pPr>
        <w:tabs>
          <w:tab w:val="left" w:pos="840"/>
        </w:tabs>
        <w:spacing w:line="580" w:lineRule="exact"/>
        <w:jc w:val="center"/>
        <w:rPr>
          <w:rFonts w:hint="eastAsia" w:ascii="楷体_GB2312" w:hAnsi="楷体" w:eastAsia="楷体_GB2312" w:cs="楷体"/>
          <w:color w:val="000000" w:themeColor="text1"/>
          <w:sz w:val="32"/>
          <w:szCs w:val="32"/>
          <w:highlight w:val="none"/>
          <w:lang w:eastAsia="zh-CN"/>
          <w14:textFill>
            <w14:solidFill>
              <w14:schemeClr w14:val="tx1"/>
            </w14:solidFill>
          </w14:textFill>
        </w:rPr>
      </w:pPr>
      <w:r>
        <w:rPr>
          <w:rFonts w:hint="eastAsia" w:ascii="楷体_GB2312" w:hAnsi="楷体" w:eastAsia="楷体_GB2312" w:cs="楷体"/>
          <w:color w:val="000000" w:themeColor="text1"/>
          <w:sz w:val="32"/>
          <w:szCs w:val="32"/>
          <w:highlight w:val="none"/>
          <w14:textFill>
            <w14:solidFill>
              <w14:schemeClr w14:val="tx1"/>
            </w14:solidFill>
          </w14:textFill>
        </w:rPr>
        <w:t xml:space="preserve">龙安区财政局局长  </w:t>
      </w:r>
      <w:r>
        <w:rPr>
          <w:rFonts w:hint="eastAsia" w:ascii="楷体_GB2312" w:hAnsi="楷体" w:eastAsia="楷体_GB2312" w:cs="楷体"/>
          <w:color w:val="000000" w:themeColor="text1"/>
          <w:sz w:val="32"/>
          <w:szCs w:val="32"/>
          <w:highlight w:val="none"/>
          <w:lang w:val="en-US" w:eastAsia="zh-CN"/>
          <w14:textFill>
            <w14:solidFill>
              <w14:schemeClr w14:val="tx1"/>
            </w14:solidFill>
          </w14:textFill>
        </w:rPr>
        <w:t>李俊生</w:t>
      </w:r>
    </w:p>
    <w:p>
      <w:pPr>
        <w:spacing w:line="560" w:lineRule="exact"/>
        <w:rPr>
          <w:rFonts w:ascii="仿宋" w:hAnsi="仿宋" w:eastAsia="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kern w:val="10"/>
          <w:sz w:val="32"/>
          <w:szCs w:val="32"/>
          <w:highlight w:val="none"/>
        </w:rPr>
        <w:t>各位代表：</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受区政府委托，现将我区202</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年财政预算执行情况和202</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年财政预算（草案）</w:t>
      </w:r>
      <w:r>
        <w:rPr>
          <w:rFonts w:hint="eastAsia" w:ascii="仿宋_GB2312" w:hAnsi="仿宋_GB2312" w:eastAsia="仿宋_GB2312" w:cs="仿宋_GB2312"/>
          <w:kern w:val="10"/>
          <w:sz w:val="32"/>
          <w:szCs w:val="32"/>
          <w:highlight w:val="none"/>
        </w:rPr>
        <w:t>提请区</w:t>
      </w:r>
      <w:r>
        <w:rPr>
          <w:rFonts w:hint="eastAsia" w:ascii="仿宋_GB2312" w:hAnsi="仿宋_GB2312" w:eastAsia="仿宋_GB2312" w:cs="仿宋_GB2312"/>
          <w:kern w:val="10"/>
          <w:sz w:val="32"/>
          <w:szCs w:val="32"/>
          <w:highlight w:val="none"/>
          <w:lang w:eastAsia="zh-CN"/>
        </w:rPr>
        <w:t>五</w:t>
      </w:r>
      <w:r>
        <w:rPr>
          <w:rFonts w:hint="eastAsia" w:ascii="仿宋_GB2312" w:hAnsi="仿宋_GB2312" w:eastAsia="仿宋_GB2312" w:cs="仿宋_GB2312"/>
          <w:kern w:val="10"/>
          <w:sz w:val="32"/>
          <w:szCs w:val="32"/>
          <w:highlight w:val="none"/>
        </w:rPr>
        <w:t>届人大</w:t>
      </w:r>
      <w:r>
        <w:rPr>
          <w:rFonts w:hint="eastAsia" w:ascii="仿宋_GB2312" w:hAnsi="仿宋_GB2312" w:eastAsia="仿宋_GB2312" w:cs="仿宋_GB2312"/>
          <w:kern w:val="10"/>
          <w:sz w:val="32"/>
          <w:szCs w:val="32"/>
          <w:highlight w:val="none"/>
          <w:lang w:eastAsia="zh-CN"/>
        </w:rPr>
        <w:t>三</w:t>
      </w:r>
      <w:r>
        <w:rPr>
          <w:rFonts w:hint="eastAsia" w:ascii="仿宋_GB2312" w:hAnsi="仿宋_GB2312" w:eastAsia="仿宋_GB2312" w:cs="仿宋_GB2312"/>
          <w:kern w:val="10"/>
          <w:sz w:val="32"/>
          <w:szCs w:val="32"/>
          <w:highlight w:val="none"/>
        </w:rPr>
        <w:t>次会议审议，并请各位代表、各位委员和列席人员提出意见。</w:t>
      </w:r>
    </w:p>
    <w:p>
      <w:pPr>
        <w:widowControl w:val="0"/>
        <w:spacing w:line="580" w:lineRule="exact"/>
        <w:ind w:firstLine="640" w:firstLineChars="200"/>
        <w:jc w:val="both"/>
        <w:rPr>
          <w:rFonts w:ascii="黑体" w:hAnsi="黑体" w:eastAsia="黑体" w:cs="黑体"/>
          <w:color w:val="000000" w:themeColor="text1"/>
          <w:kern w:val="10"/>
          <w:sz w:val="32"/>
          <w:szCs w:val="32"/>
          <w:highlight w:val="none"/>
          <w14:textFill>
            <w14:solidFill>
              <w14:schemeClr w14:val="tx1"/>
            </w14:solidFill>
          </w14:textFill>
        </w:rPr>
      </w:pPr>
      <w:r>
        <w:rPr>
          <w:rFonts w:hint="eastAsia" w:ascii="黑体" w:hAnsi="黑体" w:eastAsia="黑体" w:cs="黑体"/>
          <w:color w:val="000000" w:themeColor="text1"/>
          <w:kern w:val="10"/>
          <w:sz w:val="32"/>
          <w:szCs w:val="32"/>
          <w:highlight w:val="none"/>
          <w14:textFill>
            <w14:solidFill>
              <w14:schemeClr w14:val="tx1"/>
            </w14:solidFill>
          </w14:textFill>
        </w:rPr>
        <w:t>一、202</w:t>
      </w:r>
      <w:r>
        <w:rPr>
          <w:rFonts w:hint="eastAsia" w:ascii="黑体" w:hAnsi="黑体" w:eastAsia="黑体" w:cs="黑体"/>
          <w:color w:val="000000" w:themeColor="text1"/>
          <w:kern w:val="10"/>
          <w:sz w:val="32"/>
          <w:szCs w:val="32"/>
          <w:highlight w:val="none"/>
          <w:lang w:val="en-US" w:eastAsia="zh-CN"/>
          <w14:textFill>
            <w14:solidFill>
              <w14:schemeClr w14:val="tx1"/>
            </w14:solidFill>
          </w14:textFill>
        </w:rPr>
        <w:t>2</w:t>
      </w:r>
      <w:r>
        <w:rPr>
          <w:rFonts w:hint="eastAsia" w:ascii="黑体" w:hAnsi="黑体" w:eastAsia="黑体" w:cs="黑体"/>
          <w:color w:val="000000" w:themeColor="text1"/>
          <w:kern w:val="10"/>
          <w:sz w:val="32"/>
          <w:szCs w:val="32"/>
          <w:highlight w:val="none"/>
          <w14:textFill>
            <w14:solidFill>
              <w14:schemeClr w14:val="tx1"/>
            </w14:solidFill>
          </w14:textFill>
        </w:rPr>
        <w:t>年财政预算执行情况</w:t>
      </w:r>
    </w:p>
    <w:p>
      <w:pPr>
        <w:widowControl w:val="0"/>
        <w:spacing w:line="580" w:lineRule="exact"/>
        <w:ind w:firstLine="640" w:firstLineChars="200"/>
        <w:jc w:val="both"/>
        <w:rPr>
          <w:rFonts w:ascii="楷体_GB2312" w:hAnsi="仿宋_GB2312" w:eastAsia="楷体_GB2312" w:cs="仿宋_GB2312"/>
          <w:color w:val="000000" w:themeColor="text1"/>
          <w:kern w:val="2"/>
          <w:sz w:val="32"/>
          <w:szCs w:val="32"/>
          <w:highlight w:val="none"/>
          <w14:textFill>
            <w14:solidFill>
              <w14:schemeClr w14:val="tx1"/>
            </w14:solidFill>
          </w14:textFill>
        </w:rPr>
      </w:pPr>
      <w:r>
        <w:rPr>
          <w:rFonts w:hint="eastAsia" w:ascii="楷体_GB2312" w:hAnsi="仿宋_GB2312" w:eastAsia="楷体_GB2312" w:cs="仿宋_GB2312"/>
          <w:color w:val="000000" w:themeColor="text1"/>
          <w:kern w:val="2"/>
          <w:sz w:val="32"/>
          <w:szCs w:val="32"/>
          <w:highlight w:val="none"/>
          <w14:textFill>
            <w14:solidFill>
              <w14:schemeClr w14:val="tx1"/>
            </w14:solidFill>
          </w14:textFill>
        </w:rPr>
        <w:t>（一）一般公共预算执行情况</w:t>
      </w:r>
    </w:p>
    <w:p>
      <w:pPr>
        <w:widowControl w:val="0"/>
        <w:spacing w:line="580" w:lineRule="exact"/>
        <w:ind w:firstLine="640" w:firstLineChars="200"/>
        <w:jc w:val="both"/>
        <w:rPr>
          <w:rFonts w:ascii="仿宋_GB2312" w:hAnsi="仿宋_GB2312" w:eastAsia="仿宋_GB2312" w:cs="仿宋_GB2312"/>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1、一般公共预算收入执行情况</w:t>
      </w:r>
    </w:p>
    <w:p>
      <w:pPr>
        <w:widowControl w:val="0"/>
        <w:spacing w:line="580" w:lineRule="exact"/>
        <w:ind w:firstLine="640" w:firstLineChars="200"/>
        <w:jc w:val="both"/>
        <w:rPr>
          <w:rFonts w:hint="eastAsia" w:ascii="仿宋_GB2312" w:hAnsi="仿宋_GB2312" w:eastAsia="仿宋_GB2312" w:cs="仿宋_GB2312"/>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2022年全区一般公共预算收入年初预算为110000万元，其中税收收入82500万元、非税收入27500万元。</w:t>
      </w:r>
    </w:p>
    <w:p>
      <w:pPr>
        <w:widowControl w:val="0"/>
        <w:spacing w:line="580" w:lineRule="exact"/>
        <w:ind w:firstLine="640" w:firstLineChars="200"/>
        <w:jc w:val="both"/>
        <w:rPr>
          <w:rFonts w:ascii="仿宋_GB2312" w:hAnsi="仿宋_GB2312" w:eastAsia="仿宋_GB2312" w:cs="仿宋_GB2312"/>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2022年全区一般公共预算收入实际完成115815万元，增长15.6%。其中:税收收入完成84022万元，非税收入完成31793万元。税收收入占一般公共预算收入的比重为72.5%。</w:t>
      </w:r>
    </w:p>
    <w:p>
      <w:pPr>
        <w:widowControl w:val="0"/>
        <w:spacing w:line="580" w:lineRule="exact"/>
        <w:ind w:firstLine="640" w:firstLineChars="200"/>
        <w:jc w:val="both"/>
        <w:rPr>
          <w:rFonts w:ascii="仿宋_GB2312" w:hAnsi="仿宋_GB2312" w:eastAsia="仿宋_GB2312" w:cs="仿宋_GB2312"/>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2、一般公共预算支出执行情况</w:t>
      </w:r>
    </w:p>
    <w:p>
      <w:pPr>
        <w:widowControl w:val="0"/>
        <w:spacing w:line="580" w:lineRule="exact"/>
        <w:ind w:firstLine="640" w:firstLineChars="200"/>
        <w:jc w:val="both"/>
        <w:rPr>
          <w:rFonts w:ascii="仿宋_GB2312" w:hAnsi="仿宋_GB2312" w:eastAsia="仿宋_GB2312" w:cs="仿宋_GB2312"/>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2022年全区一般公共预算支出年初预算为202349万元</w:t>
      </w:r>
      <w:r>
        <w:rPr>
          <w:rFonts w:hint="eastAsia" w:ascii="仿宋_GB2312" w:hAnsi="仿宋_GB2312" w:eastAsia="仿宋_GB2312" w:cs="仿宋_GB2312"/>
          <w:color w:val="000000" w:themeColor="text1"/>
          <w:kern w:val="1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实际完成144691万元。</w:t>
      </w:r>
    </w:p>
    <w:p>
      <w:pPr>
        <w:widowControl w:val="0"/>
        <w:spacing w:line="580" w:lineRule="exact"/>
        <w:ind w:firstLine="642" w:firstLineChars="200"/>
        <w:jc w:val="both"/>
        <w:rPr>
          <w:rFonts w:hint="eastAsia" w:ascii="仿宋_GB2312" w:hAnsi="仿宋_GB2312" w:eastAsia="仿宋_GB2312" w:cs="仿宋_GB2312"/>
          <w:b w:val="0"/>
          <w:bCs w:val="0"/>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10"/>
          <w:sz w:val="32"/>
          <w:szCs w:val="32"/>
          <w:highlight w:val="none"/>
          <w14:textFill>
            <w14:solidFill>
              <w14:schemeClr w14:val="tx1"/>
            </w14:solidFill>
          </w14:textFill>
        </w:rPr>
        <w:t>功能分类支出主要是：</w:t>
      </w:r>
      <w:r>
        <w:rPr>
          <w:rFonts w:hint="eastAsia" w:ascii="仿宋_GB2312" w:hAnsi="仿宋_GB2312" w:eastAsia="仿宋_GB2312" w:cs="仿宋_GB2312"/>
          <w:b w:val="0"/>
          <w:bCs w:val="0"/>
          <w:color w:val="000000" w:themeColor="text1"/>
          <w:kern w:val="10"/>
          <w:sz w:val="32"/>
          <w:szCs w:val="32"/>
          <w:highlight w:val="none"/>
          <w14:textFill>
            <w14:solidFill>
              <w14:schemeClr w14:val="tx1"/>
            </w14:solidFill>
          </w14:textFill>
        </w:rPr>
        <w:t>一般公共服务支出37173万元、教育支出24434万元、科学技术支出2932万元、社会保障和就业支出16547万元、卫生健康支出9927万元、节能环保支出1948万元、城乡社区支出13573万元、农林水支出15163万元、自然资源海洋气象等支出1862万元、住房保障支出5069万元、债务付息支出1570万元。</w:t>
      </w:r>
    </w:p>
    <w:p>
      <w:pPr>
        <w:widowControl w:val="0"/>
        <w:spacing w:line="580" w:lineRule="exact"/>
        <w:ind w:firstLine="642" w:firstLineChars="200"/>
        <w:jc w:val="both"/>
        <w:rPr>
          <w:rFonts w:ascii="仿宋_GB2312" w:hAnsi="仿宋_GB2312" w:eastAsia="仿宋_GB2312" w:cs="仿宋_GB2312"/>
          <w:b w:val="0"/>
          <w:bCs w:val="0"/>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10"/>
          <w:sz w:val="32"/>
          <w:szCs w:val="32"/>
          <w:highlight w:val="none"/>
          <w14:textFill>
            <w14:solidFill>
              <w14:schemeClr w14:val="tx1"/>
            </w14:solidFill>
          </w14:textFill>
        </w:rPr>
        <w:t>经济分类支出主要是：</w:t>
      </w:r>
      <w:r>
        <w:rPr>
          <w:rFonts w:hint="eastAsia" w:ascii="仿宋_GB2312" w:hAnsi="仿宋_GB2312" w:eastAsia="仿宋_GB2312" w:cs="仿宋_GB2312"/>
          <w:b w:val="0"/>
          <w:bCs w:val="0"/>
          <w:color w:val="000000" w:themeColor="text1"/>
          <w:kern w:val="10"/>
          <w:sz w:val="32"/>
          <w:szCs w:val="32"/>
          <w:highlight w:val="none"/>
          <w14:textFill>
            <w14:solidFill>
              <w14:schemeClr w14:val="tx1"/>
            </w14:solidFill>
          </w14:textFill>
        </w:rPr>
        <w:t>机关工资福利支出23956万元、机关商品和服务支出40023万元、机关资本性支出20570万元、对事业单位经常性补助30804万元、对事业单位资本性补助69万元、对个人和家庭的补助11490万元、对社会保障基金补助3676万元、债务付息及费用支出1570万元。</w:t>
      </w:r>
    </w:p>
    <w:p>
      <w:pPr>
        <w:widowControl w:val="0"/>
        <w:spacing w:line="580" w:lineRule="exact"/>
        <w:ind w:firstLine="640" w:firstLineChars="200"/>
        <w:jc w:val="both"/>
        <w:rPr>
          <w:rFonts w:hint="eastAsia" w:ascii="仿宋_GB2312" w:hAnsi="仿宋_GB2312" w:eastAsia="仿宋_GB2312" w:cs="仿宋_GB2312"/>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根据现行市区财政体制测算，2022年全区一般公共预算收入115815万元，加上级补助收入88637万元、转贷财政部代理发行地方政府债券收入7315万元（其中新增债券1315万元、再融资类债券6000万元）、上年结转结余27761万元、动用预算稳定调节基金3054万元，减上解支出60641万元、债务还本支出6318万元(其中自有财力偿还318万元、再融资债券还本支出6000万元）、结转下年支出25624万元、安排预算稳定调节基金5308万元。2022年全区一般公共预算财力为144691万元，当年全区一般公共预算支出完成144691万元。</w:t>
      </w:r>
    </w:p>
    <w:p>
      <w:pPr>
        <w:widowControl w:val="0"/>
        <w:spacing w:line="580" w:lineRule="exact"/>
        <w:ind w:firstLine="640" w:firstLineChars="200"/>
        <w:jc w:val="both"/>
        <w:rPr>
          <w:rFonts w:ascii="楷体_GB2312" w:hAnsi="仿宋_GB2312" w:eastAsia="楷体_GB2312" w:cs="仿宋_GB2312"/>
          <w:color w:val="000000" w:themeColor="text1"/>
          <w:kern w:val="2"/>
          <w:sz w:val="32"/>
          <w:szCs w:val="32"/>
          <w:highlight w:val="none"/>
          <w14:textFill>
            <w14:solidFill>
              <w14:schemeClr w14:val="tx1"/>
            </w14:solidFill>
          </w14:textFill>
        </w:rPr>
      </w:pPr>
      <w:r>
        <w:rPr>
          <w:rFonts w:hint="eastAsia" w:ascii="楷体_GB2312" w:hAnsi="仿宋_GB2312" w:eastAsia="楷体_GB2312" w:cs="仿宋_GB2312"/>
          <w:color w:val="000000" w:themeColor="text1"/>
          <w:kern w:val="2"/>
          <w:sz w:val="32"/>
          <w:szCs w:val="32"/>
          <w:highlight w:val="none"/>
          <w14:textFill>
            <w14:solidFill>
              <w14:schemeClr w14:val="tx1"/>
            </w14:solidFill>
          </w14:textFill>
        </w:rPr>
        <w:t>（二）政府性基金预算执行情况</w:t>
      </w:r>
    </w:p>
    <w:p>
      <w:pPr>
        <w:widowControl w:val="0"/>
        <w:spacing w:line="580" w:lineRule="exact"/>
        <w:ind w:firstLine="642" w:firstLineChars="200"/>
        <w:jc w:val="both"/>
        <w:rPr>
          <w:rFonts w:ascii="仿宋_GB2312" w:hAnsi="仿宋_GB2312" w:eastAsia="仿宋_GB2312" w:cs="仿宋_GB2312"/>
          <w:b/>
          <w:bCs/>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10"/>
          <w:sz w:val="32"/>
          <w:szCs w:val="32"/>
          <w:highlight w:val="none"/>
          <w14:textFill>
            <w14:solidFill>
              <w14:schemeClr w14:val="tx1"/>
            </w14:solidFill>
          </w14:textFill>
        </w:rPr>
        <w:t>1、政府性基金预算收入执行情况</w:t>
      </w:r>
    </w:p>
    <w:p>
      <w:pPr>
        <w:widowControl w:val="0"/>
        <w:spacing w:line="580" w:lineRule="exact"/>
        <w:ind w:firstLine="640" w:firstLineChars="200"/>
        <w:jc w:val="both"/>
        <w:rPr>
          <w:rFonts w:ascii="仿宋_GB2312" w:hAnsi="仿宋_GB2312" w:eastAsia="仿宋_GB2312" w:cs="仿宋_GB2312"/>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2022年全区政府性基金预算收入年初预算为160000万元</w:t>
      </w:r>
      <w:r>
        <w:rPr>
          <w:rFonts w:hint="eastAsia" w:ascii="仿宋_GB2312" w:hAnsi="仿宋_GB2312" w:eastAsia="仿宋_GB2312" w:cs="仿宋_GB2312"/>
          <w:color w:val="000000" w:themeColor="text1"/>
          <w:kern w:val="1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实际完成21851万元。</w:t>
      </w:r>
    </w:p>
    <w:p>
      <w:pPr>
        <w:widowControl w:val="0"/>
        <w:spacing w:line="580" w:lineRule="exact"/>
        <w:ind w:firstLine="642" w:firstLineChars="200"/>
        <w:jc w:val="both"/>
        <w:rPr>
          <w:rFonts w:ascii="仿宋_GB2312" w:hAnsi="仿宋_GB2312" w:eastAsia="仿宋_GB2312" w:cs="仿宋_GB2312"/>
          <w:b/>
          <w:bCs/>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10"/>
          <w:sz w:val="32"/>
          <w:szCs w:val="32"/>
          <w:highlight w:val="none"/>
          <w14:textFill>
            <w14:solidFill>
              <w14:schemeClr w14:val="tx1"/>
            </w14:solidFill>
          </w14:textFill>
        </w:rPr>
        <w:t>2、政府性基金预算支出执行情况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bCs/>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bCs/>
          <w:color w:val="000000" w:themeColor="text1"/>
          <w:kern w:val="10"/>
          <w:sz w:val="32"/>
          <w:szCs w:val="32"/>
          <w:highlight w:val="none"/>
          <w14:textFill>
            <w14:solidFill>
              <w14:schemeClr w14:val="tx1"/>
            </w14:solidFill>
          </w14:textFill>
        </w:rPr>
        <w:t>2022年全区政府性基金预算支出年初预算为95044万元</w:t>
      </w:r>
      <w:r>
        <w:rPr>
          <w:rFonts w:hint="eastAsia" w:ascii="仿宋_GB2312" w:hAnsi="仿宋_GB2312" w:eastAsia="仿宋_GB2312" w:cs="仿宋_GB2312"/>
          <w:bCs/>
          <w:color w:val="000000" w:themeColor="text1"/>
          <w:kern w:val="10"/>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kern w:val="10"/>
          <w:sz w:val="32"/>
          <w:szCs w:val="32"/>
          <w:highlight w:val="none"/>
          <w14:textFill>
            <w14:solidFill>
              <w14:schemeClr w14:val="tx1"/>
            </w14:solidFill>
          </w14:textFill>
        </w:rPr>
        <w:t>实际完成46207万元。</w:t>
      </w:r>
    </w:p>
    <w:p>
      <w:pPr>
        <w:widowControl w:val="0"/>
        <w:spacing w:line="580" w:lineRule="exact"/>
        <w:ind w:firstLine="642" w:firstLineChars="200"/>
        <w:jc w:val="both"/>
        <w:rPr>
          <w:rFonts w:hint="eastAsia" w:ascii="仿宋_GB2312" w:hAnsi="仿宋_GB2312" w:eastAsia="仿宋_GB2312" w:cs="仿宋_GB2312"/>
          <w:b w:val="0"/>
          <w:bCs/>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b/>
          <w:color w:val="000000" w:themeColor="text1"/>
          <w:kern w:val="10"/>
          <w:sz w:val="32"/>
          <w:szCs w:val="32"/>
          <w:highlight w:val="none"/>
          <w14:textFill>
            <w14:solidFill>
              <w14:schemeClr w14:val="tx1"/>
            </w14:solidFill>
          </w14:textFill>
        </w:rPr>
        <w:t>功能分类支出主要是：</w:t>
      </w:r>
      <w:r>
        <w:rPr>
          <w:rFonts w:hint="eastAsia" w:ascii="仿宋_GB2312" w:hAnsi="仿宋_GB2312" w:eastAsia="仿宋_GB2312" w:cs="仿宋_GB2312"/>
          <w:b w:val="0"/>
          <w:bCs/>
          <w:color w:val="000000" w:themeColor="text1"/>
          <w:kern w:val="10"/>
          <w:sz w:val="32"/>
          <w:szCs w:val="32"/>
          <w:highlight w:val="none"/>
          <w14:textFill>
            <w14:solidFill>
              <w14:schemeClr w14:val="tx1"/>
            </w14:solidFill>
          </w14:textFill>
        </w:rPr>
        <w:t>城乡社区支出18360万元、社会保障和就业支出1462万元、债务付息支出9163万元、其他支出17221万元。</w:t>
      </w:r>
    </w:p>
    <w:p>
      <w:pPr>
        <w:widowControl w:val="0"/>
        <w:spacing w:line="580" w:lineRule="exact"/>
        <w:ind w:firstLine="642" w:firstLineChars="200"/>
        <w:jc w:val="both"/>
        <w:rPr>
          <w:rFonts w:ascii="仿宋_GB2312" w:hAnsi="仿宋_GB2312" w:eastAsia="仿宋_GB2312" w:cs="仿宋_GB2312"/>
          <w:bCs/>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b/>
          <w:color w:val="000000" w:themeColor="text1"/>
          <w:kern w:val="10"/>
          <w:sz w:val="32"/>
          <w:szCs w:val="32"/>
          <w:highlight w:val="none"/>
          <w14:textFill>
            <w14:solidFill>
              <w14:schemeClr w14:val="tx1"/>
            </w14:solidFill>
          </w14:textFill>
        </w:rPr>
        <w:t>经济分类支出主要是：</w:t>
      </w:r>
      <w:r>
        <w:rPr>
          <w:rFonts w:hint="eastAsia" w:ascii="仿宋_GB2312" w:hAnsi="仿宋_GB2312" w:eastAsia="仿宋_GB2312" w:cs="仿宋_GB2312"/>
          <w:b w:val="0"/>
          <w:bCs/>
          <w:color w:val="000000" w:themeColor="text1"/>
          <w:kern w:val="10"/>
          <w:sz w:val="32"/>
          <w:szCs w:val="32"/>
          <w:highlight w:val="none"/>
          <w14:textFill>
            <w14:solidFill>
              <w14:schemeClr w14:val="tx1"/>
            </w14:solidFill>
          </w14:textFill>
        </w:rPr>
        <w:t>机关商品和服务支出5669万元、机关资本性支出19659万元、对个人和家庭的补助支出220万元、债务付息支出9163万元、其他支出6996万元。</w:t>
      </w:r>
    </w:p>
    <w:p>
      <w:pPr>
        <w:widowControl w:val="0"/>
        <w:spacing w:line="580" w:lineRule="exact"/>
        <w:ind w:firstLine="640" w:firstLineChars="200"/>
        <w:jc w:val="both"/>
        <w:rPr>
          <w:rFonts w:ascii="仿宋_GB2312" w:hAnsi="仿宋_GB2312" w:eastAsia="仿宋_GB2312" w:cs="仿宋_GB2312"/>
          <w:bCs/>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bCs/>
          <w:color w:val="000000" w:themeColor="text1"/>
          <w:kern w:val="10"/>
          <w:sz w:val="32"/>
          <w:szCs w:val="32"/>
          <w:highlight w:val="none"/>
          <w14:textFill>
            <w14:solidFill>
              <w14:schemeClr w14:val="tx1"/>
            </w14:solidFill>
          </w14:textFill>
        </w:rPr>
        <w:t>根据现行市区财政体制测算，2022年全区政府性基金收入21851万元，加上级补助收入3267万元、上年结转结余24932万元、转贷财政部代理发行地方政府债券收入17800万元（其中新增专项债券15800万元、再融资类债券2000万元），减基金上解支出12175万元、专项债务还本支出2190万元、结转下年支出7278万元。2022年全区政府性基金预算财力为46207万元，当年全区政府性基金预算支出完成46207万元。</w:t>
      </w:r>
    </w:p>
    <w:p>
      <w:pPr>
        <w:widowControl w:val="0"/>
        <w:spacing w:line="580" w:lineRule="exact"/>
        <w:ind w:firstLine="640" w:firstLineChars="200"/>
        <w:jc w:val="both"/>
        <w:rPr>
          <w:rFonts w:hint="eastAsia" w:ascii="楷体_GB2312" w:hAnsi="仿宋_GB2312" w:eastAsia="楷体_GB2312" w:cs="仿宋_GB2312"/>
          <w:b w:val="0"/>
          <w:bCs w:val="0"/>
          <w:color w:val="auto"/>
          <w:kern w:val="2"/>
          <w:sz w:val="32"/>
          <w:szCs w:val="32"/>
          <w:highlight w:val="none"/>
        </w:rPr>
      </w:pPr>
      <w:r>
        <w:rPr>
          <w:rFonts w:hint="eastAsia" w:ascii="楷体_GB2312" w:hAnsi="仿宋_GB2312" w:eastAsia="楷体_GB2312" w:cs="仿宋_GB2312"/>
          <w:b w:val="0"/>
          <w:bCs w:val="0"/>
          <w:color w:val="auto"/>
          <w:kern w:val="2"/>
          <w:sz w:val="32"/>
          <w:szCs w:val="32"/>
          <w:highlight w:val="none"/>
        </w:rPr>
        <w:t>（三）国有资本经营预算执行情况</w:t>
      </w:r>
    </w:p>
    <w:p>
      <w:pPr>
        <w:widowControl/>
        <w:spacing w:line="580" w:lineRule="exact"/>
        <w:ind w:firstLine="642" w:firstLineChars="200"/>
        <w:jc w:val="left"/>
        <w:rPr>
          <w:rFonts w:ascii="仿宋_GB2312" w:hAnsi="仿宋_GB2312" w:eastAsia="仿宋_GB2312" w:cs="仿宋_GB2312"/>
          <w:b/>
          <w:bCs/>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10"/>
          <w:sz w:val="32"/>
          <w:szCs w:val="32"/>
          <w:highlight w:val="none"/>
          <w14:textFill>
            <w14:solidFill>
              <w14:schemeClr w14:val="tx1"/>
            </w14:solidFill>
          </w14:textFill>
        </w:rPr>
        <w:t>1、国有资本经营预算收入执行情况</w:t>
      </w:r>
    </w:p>
    <w:p>
      <w:pPr>
        <w:widowControl/>
        <w:spacing w:line="580" w:lineRule="exact"/>
        <w:ind w:firstLine="640" w:firstLineChars="200"/>
        <w:jc w:val="left"/>
        <w:rPr>
          <w:rFonts w:ascii="仿宋_GB2312" w:hAnsi="仿宋_GB2312" w:eastAsia="仿宋_GB2312" w:cs="仿宋_GB2312"/>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2022年年初未安排国有资本经营预算收入，2022年国有资本经营预算收入实际完成0万元。</w:t>
      </w:r>
    </w:p>
    <w:p>
      <w:pPr>
        <w:widowControl/>
        <w:spacing w:line="580" w:lineRule="exact"/>
        <w:ind w:firstLine="642" w:firstLineChars="200"/>
        <w:jc w:val="left"/>
        <w:rPr>
          <w:rFonts w:ascii="仿宋_GB2312" w:hAnsi="仿宋_GB2312" w:eastAsia="仿宋_GB2312" w:cs="仿宋_GB2312"/>
          <w:b/>
          <w:bCs/>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10"/>
          <w:sz w:val="32"/>
          <w:szCs w:val="32"/>
          <w:highlight w:val="none"/>
          <w14:textFill>
            <w14:solidFill>
              <w14:schemeClr w14:val="tx1"/>
            </w14:solidFill>
          </w14:textFill>
        </w:rPr>
        <w:t>2、国有资本经营预算支出执行情况</w:t>
      </w:r>
    </w:p>
    <w:p>
      <w:pPr>
        <w:spacing w:line="580" w:lineRule="exact"/>
        <w:ind w:firstLine="640" w:firstLineChars="200"/>
        <w:rPr>
          <w:rFonts w:hint="eastAsia" w:ascii="仿宋_GB2312" w:hAnsi="仿宋_GB2312" w:eastAsia="仿宋_GB2312" w:cs="仿宋_GB2312"/>
          <w:bCs/>
          <w:color w:val="000000" w:themeColor="text1"/>
          <w:kern w:val="1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10"/>
          <w:sz w:val="32"/>
          <w:szCs w:val="32"/>
          <w:highlight w:val="none"/>
          <w:lang w:val="en-US" w:eastAsia="zh-CN" w:bidi="ar-SA"/>
          <w14:textFill>
            <w14:solidFill>
              <w14:schemeClr w14:val="tx1"/>
            </w14:solidFill>
          </w14:textFill>
        </w:rPr>
        <w:t>2022年年初未安排国有资本经营预算支出，实际支出完成0万元。</w:t>
      </w:r>
    </w:p>
    <w:p>
      <w:pPr>
        <w:spacing w:line="580" w:lineRule="exact"/>
        <w:ind w:firstLine="640" w:firstLineChars="200"/>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10"/>
          <w:sz w:val="32"/>
          <w:szCs w:val="32"/>
          <w:highlight w:val="none"/>
          <w:lang w:val="en-US" w:eastAsia="zh-CN" w:bidi="ar-SA"/>
          <w14:textFill>
            <w14:solidFill>
              <w14:schemeClr w14:val="tx1"/>
            </w14:solidFill>
          </w14:textFill>
        </w:rPr>
        <w:t>根据现行市区财政体制测算，2022年全区国有资本经营预算收入0万元、加上级补助收入45万元，加上年结转收入65万元，年末结余110万元。</w:t>
      </w:r>
    </w:p>
    <w:p>
      <w:pPr>
        <w:widowControl w:val="0"/>
        <w:spacing w:line="580" w:lineRule="exact"/>
        <w:ind w:firstLine="640" w:firstLineChars="200"/>
        <w:jc w:val="both"/>
        <w:rPr>
          <w:rFonts w:ascii="楷体_GB2312" w:hAnsi="仿宋_GB2312" w:eastAsia="楷体_GB2312" w:cs="仿宋_GB2312"/>
          <w:b w:val="0"/>
          <w:bCs w:val="0"/>
          <w:color w:val="auto"/>
          <w:kern w:val="2"/>
          <w:sz w:val="32"/>
          <w:szCs w:val="32"/>
          <w:highlight w:val="none"/>
        </w:rPr>
      </w:pPr>
      <w:r>
        <w:rPr>
          <w:rFonts w:hint="eastAsia" w:ascii="楷体_GB2312" w:hAnsi="仿宋_GB2312" w:eastAsia="楷体_GB2312" w:cs="仿宋_GB2312"/>
          <w:b w:val="0"/>
          <w:bCs w:val="0"/>
          <w:color w:val="auto"/>
          <w:kern w:val="2"/>
          <w:sz w:val="32"/>
          <w:szCs w:val="32"/>
          <w:highlight w:val="none"/>
        </w:rPr>
        <w:t>（四）社会保险基金预算执行情况</w:t>
      </w:r>
    </w:p>
    <w:p>
      <w:pPr>
        <w:widowControl w:val="0"/>
        <w:spacing w:line="580" w:lineRule="exact"/>
        <w:ind w:firstLine="640" w:firstLineChars="200"/>
        <w:jc w:val="both"/>
        <w:rPr>
          <w:rFonts w:ascii="仿宋_GB2312" w:hAnsi="仿宋_GB2312" w:eastAsia="仿宋_GB2312" w:cs="仿宋_GB2312"/>
          <w:bCs/>
          <w:color w:val="auto"/>
          <w:kern w:val="10"/>
          <w:sz w:val="32"/>
          <w:szCs w:val="32"/>
          <w:highlight w:val="none"/>
        </w:rPr>
      </w:pPr>
      <w:r>
        <w:rPr>
          <w:rFonts w:hint="eastAsia" w:ascii="仿宋_GB2312" w:hAnsi="仿宋_GB2312" w:eastAsia="仿宋_GB2312" w:cs="仿宋_GB2312"/>
          <w:bCs/>
          <w:color w:val="auto"/>
          <w:kern w:val="10"/>
          <w:sz w:val="32"/>
          <w:szCs w:val="32"/>
          <w:highlight w:val="none"/>
          <w:lang w:eastAsia="zh-CN"/>
        </w:rPr>
        <w:t>2022</w:t>
      </w:r>
      <w:r>
        <w:rPr>
          <w:rFonts w:hint="eastAsia" w:ascii="仿宋_GB2312" w:hAnsi="仿宋_GB2312" w:eastAsia="仿宋_GB2312" w:cs="仿宋_GB2312"/>
          <w:bCs/>
          <w:color w:val="auto"/>
          <w:kern w:val="10"/>
          <w:sz w:val="32"/>
          <w:szCs w:val="32"/>
          <w:highlight w:val="none"/>
        </w:rPr>
        <w:t>年社会保险基金年初预算收入为</w:t>
      </w:r>
      <w:r>
        <w:rPr>
          <w:rFonts w:hint="eastAsia" w:ascii="仿宋_GB2312" w:hAnsi="仿宋_GB2312" w:eastAsia="仿宋_GB2312" w:cs="仿宋_GB2312"/>
          <w:bCs/>
          <w:color w:val="auto"/>
          <w:kern w:val="10"/>
          <w:sz w:val="32"/>
          <w:szCs w:val="32"/>
          <w:highlight w:val="none"/>
          <w:lang w:val="en-US" w:eastAsia="zh-CN"/>
        </w:rPr>
        <w:t>8085</w:t>
      </w:r>
      <w:r>
        <w:rPr>
          <w:rFonts w:hint="eastAsia" w:ascii="仿宋_GB2312" w:hAnsi="仿宋_GB2312" w:eastAsia="仿宋_GB2312" w:cs="仿宋_GB2312"/>
          <w:bCs/>
          <w:color w:val="auto"/>
          <w:kern w:val="10"/>
          <w:sz w:val="32"/>
          <w:szCs w:val="32"/>
          <w:highlight w:val="none"/>
        </w:rPr>
        <w:t>万元，社保基金收入实际完成</w:t>
      </w:r>
      <w:r>
        <w:rPr>
          <w:rFonts w:hint="eastAsia" w:ascii="仿宋_GB2312" w:hAnsi="仿宋_GB2312" w:eastAsia="仿宋_GB2312" w:cs="仿宋_GB2312"/>
          <w:bCs/>
          <w:color w:val="auto"/>
          <w:kern w:val="10"/>
          <w:sz w:val="32"/>
          <w:szCs w:val="32"/>
          <w:highlight w:val="none"/>
          <w:lang w:val="en-US" w:eastAsia="zh-CN"/>
        </w:rPr>
        <w:t>9751</w:t>
      </w:r>
      <w:r>
        <w:rPr>
          <w:rFonts w:hint="eastAsia" w:ascii="仿宋_GB2312" w:hAnsi="仿宋_GB2312" w:eastAsia="仿宋_GB2312" w:cs="仿宋_GB2312"/>
          <w:bCs/>
          <w:color w:val="auto"/>
          <w:kern w:val="10"/>
          <w:sz w:val="32"/>
          <w:szCs w:val="32"/>
          <w:highlight w:val="none"/>
        </w:rPr>
        <w:t>万元，为年初预算的1</w:t>
      </w:r>
      <w:r>
        <w:rPr>
          <w:rFonts w:hint="eastAsia" w:ascii="仿宋_GB2312" w:hAnsi="仿宋_GB2312" w:eastAsia="仿宋_GB2312" w:cs="仿宋_GB2312"/>
          <w:bCs/>
          <w:color w:val="auto"/>
          <w:kern w:val="10"/>
          <w:sz w:val="32"/>
          <w:szCs w:val="32"/>
          <w:highlight w:val="none"/>
          <w:lang w:val="en-US" w:eastAsia="zh-CN"/>
        </w:rPr>
        <w:t>20.6</w:t>
      </w:r>
      <w:r>
        <w:rPr>
          <w:rFonts w:hint="eastAsia" w:ascii="仿宋_GB2312" w:hAnsi="仿宋_GB2312" w:eastAsia="仿宋_GB2312" w:cs="仿宋_GB2312"/>
          <w:bCs/>
          <w:color w:val="auto"/>
          <w:kern w:val="10"/>
          <w:sz w:val="32"/>
          <w:szCs w:val="32"/>
          <w:highlight w:val="none"/>
        </w:rPr>
        <w:t>%。</w:t>
      </w:r>
    </w:p>
    <w:p>
      <w:pPr>
        <w:widowControl w:val="0"/>
        <w:spacing w:line="580" w:lineRule="exact"/>
        <w:ind w:firstLine="640" w:firstLineChars="200"/>
        <w:jc w:val="both"/>
        <w:rPr>
          <w:rFonts w:hint="eastAsia" w:ascii="仿宋_GB2312" w:hAnsi="仿宋_GB2312" w:eastAsia="仿宋_GB2312" w:cs="仿宋_GB2312"/>
          <w:bCs/>
          <w:color w:val="auto"/>
          <w:kern w:val="10"/>
          <w:sz w:val="32"/>
          <w:szCs w:val="32"/>
          <w:highlight w:val="none"/>
        </w:rPr>
      </w:pPr>
      <w:r>
        <w:rPr>
          <w:rFonts w:hint="eastAsia" w:ascii="仿宋_GB2312" w:hAnsi="仿宋_GB2312" w:eastAsia="仿宋_GB2312" w:cs="仿宋_GB2312"/>
          <w:bCs/>
          <w:color w:val="auto"/>
          <w:kern w:val="10"/>
          <w:sz w:val="32"/>
          <w:szCs w:val="32"/>
          <w:highlight w:val="none"/>
          <w:lang w:eastAsia="zh-CN"/>
        </w:rPr>
        <w:t>2022</w:t>
      </w:r>
      <w:r>
        <w:rPr>
          <w:rFonts w:hint="eastAsia" w:ascii="仿宋_GB2312" w:hAnsi="仿宋_GB2312" w:eastAsia="仿宋_GB2312" w:cs="仿宋_GB2312"/>
          <w:bCs/>
          <w:color w:val="auto"/>
          <w:kern w:val="10"/>
          <w:sz w:val="32"/>
          <w:szCs w:val="32"/>
          <w:highlight w:val="none"/>
        </w:rPr>
        <w:t>年社会保险基金年初预算支出为</w:t>
      </w:r>
      <w:r>
        <w:rPr>
          <w:rFonts w:hint="eastAsia" w:ascii="仿宋_GB2312" w:hAnsi="仿宋_GB2312" w:eastAsia="仿宋_GB2312" w:cs="仿宋_GB2312"/>
          <w:bCs/>
          <w:color w:val="auto"/>
          <w:kern w:val="10"/>
          <w:sz w:val="32"/>
          <w:szCs w:val="32"/>
          <w:highlight w:val="none"/>
          <w:lang w:val="en-US" w:eastAsia="zh-CN"/>
        </w:rPr>
        <w:t>5885</w:t>
      </w:r>
      <w:r>
        <w:rPr>
          <w:rFonts w:hint="eastAsia" w:ascii="仿宋_GB2312" w:hAnsi="仿宋_GB2312" w:eastAsia="仿宋_GB2312" w:cs="仿宋_GB2312"/>
          <w:bCs/>
          <w:color w:val="auto"/>
          <w:kern w:val="10"/>
          <w:sz w:val="32"/>
          <w:szCs w:val="32"/>
          <w:highlight w:val="none"/>
        </w:rPr>
        <w:t>万元，社保基金支出实际完成</w:t>
      </w:r>
      <w:r>
        <w:rPr>
          <w:rFonts w:hint="eastAsia" w:ascii="仿宋_GB2312" w:hAnsi="仿宋_GB2312" w:eastAsia="仿宋_GB2312" w:cs="仿宋_GB2312"/>
          <w:bCs/>
          <w:color w:val="auto"/>
          <w:kern w:val="10"/>
          <w:sz w:val="32"/>
          <w:szCs w:val="32"/>
          <w:highlight w:val="none"/>
          <w:lang w:val="en-US" w:eastAsia="zh-CN"/>
        </w:rPr>
        <w:t>7179</w:t>
      </w:r>
      <w:r>
        <w:rPr>
          <w:rFonts w:hint="eastAsia" w:ascii="仿宋_GB2312" w:hAnsi="仿宋_GB2312" w:eastAsia="仿宋_GB2312" w:cs="仿宋_GB2312"/>
          <w:bCs/>
          <w:color w:val="auto"/>
          <w:kern w:val="10"/>
          <w:sz w:val="32"/>
          <w:szCs w:val="32"/>
          <w:highlight w:val="none"/>
        </w:rPr>
        <w:t>万元，为年初预算的1</w:t>
      </w:r>
      <w:r>
        <w:rPr>
          <w:rFonts w:hint="eastAsia" w:ascii="仿宋_GB2312" w:hAnsi="仿宋_GB2312" w:eastAsia="仿宋_GB2312" w:cs="仿宋_GB2312"/>
          <w:bCs/>
          <w:color w:val="auto"/>
          <w:kern w:val="10"/>
          <w:sz w:val="32"/>
          <w:szCs w:val="32"/>
          <w:highlight w:val="none"/>
          <w:lang w:val="en-US" w:eastAsia="zh-CN"/>
        </w:rPr>
        <w:t>22</w:t>
      </w:r>
      <w:r>
        <w:rPr>
          <w:rFonts w:hint="eastAsia" w:ascii="仿宋_GB2312" w:hAnsi="仿宋_GB2312" w:eastAsia="仿宋_GB2312" w:cs="仿宋_GB2312"/>
          <w:bCs/>
          <w:color w:val="auto"/>
          <w:kern w:val="10"/>
          <w:sz w:val="32"/>
          <w:szCs w:val="32"/>
          <w:highlight w:val="none"/>
        </w:rPr>
        <w:t>%。</w:t>
      </w:r>
    </w:p>
    <w:p>
      <w:pPr>
        <w:widowControl w:val="0"/>
        <w:spacing w:line="580" w:lineRule="exact"/>
        <w:ind w:firstLine="640" w:firstLineChars="200"/>
        <w:jc w:val="both"/>
        <w:rPr>
          <w:rFonts w:ascii="楷体_GB2312" w:hAnsi="仿宋_GB2312" w:eastAsia="楷体_GB2312" w:cs="仿宋_GB2312"/>
          <w:b w:val="0"/>
          <w:bCs w:val="0"/>
          <w:color w:val="000000" w:themeColor="text1"/>
          <w:kern w:val="2"/>
          <w:sz w:val="32"/>
          <w:szCs w:val="32"/>
          <w:highlight w:val="none"/>
          <w14:textFill>
            <w14:solidFill>
              <w14:schemeClr w14:val="tx1"/>
            </w14:solidFill>
          </w14:textFill>
        </w:rPr>
      </w:pPr>
      <w:r>
        <w:rPr>
          <w:rFonts w:hint="eastAsia" w:ascii="楷体_GB2312" w:hAnsi="仿宋_GB2312" w:eastAsia="楷体_GB2312" w:cs="仿宋_GB2312"/>
          <w:b w:val="0"/>
          <w:bCs w:val="0"/>
          <w:color w:val="000000" w:themeColor="text1"/>
          <w:kern w:val="2"/>
          <w:sz w:val="32"/>
          <w:szCs w:val="32"/>
          <w:highlight w:val="none"/>
          <w14:textFill>
            <w14:solidFill>
              <w14:schemeClr w14:val="tx1"/>
            </w14:solidFill>
          </w14:textFill>
        </w:rPr>
        <w:t>（五）政府债务情况</w:t>
      </w:r>
    </w:p>
    <w:p>
      <w:pPr>
        <w:widowControl w:val="0"/>
        <w:spacing w:line="580" w:lineRule="exact"/>
        <w:ind w:firstLine="640" w:firstLineChars="200"/>
        <w:jc w:val="both"/>
        <w:rPr>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上级财政部门核定我区2022年政府债务限额累计346643万元。其中：一般债务限额49643万元，专项债务限额297000万元。截止2022年底，全区累计债务余额341802万元，其中：一般债务余额45944万元，专项债务余额295858万元。全区债务总额和分项余额均低于上级财政部门核定的债务限额。</w:t>
      </w:r>
    </w:p>
    <w:p>
      <w:pPr>
        <w:widowControl w:val="0"/>
        <w:spacing w:line="580" w:lineRule="exact"/>
        <w:ind w:firstLine="640" w:firstLineChars="200"/>
        <w:jc w:val="both"/>
        <w:rPr>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2022年，我区新增债券共17115万元，其中：专项债</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券</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发行金额15800万元，一般债券发行金额1315万元。</w:t>
      </w:r>
    </w:p>
    <w:p>
      <w:pPr>
        <w:widowControl w:val="0"/>
        <w:spacing w:line="580" w:lineRule="exact"/>
        <w:ind w:firstLine="640" w:firstLineChars="200"/>
        <w:jc w:val="both"/>
        <w:rPr>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2022年上级财政部门转贷我区再融资类债券8000万元，其中：一般债券再融资6000万元，专项债券再融资2000万元。</w:t>
      </w:r>
    </w:p>
    <w:p>
      <w:pPr>
        <w:widowControl w:val="0"/>
        <w:spacing w:line="580" w:lineRule="exact"/>
        <w:ind w:firstLine="640" w:firstLineChars="200"/>
        <w:jc w:val="both"/>
        <w:rPr>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上述预算执行情况经上级财政部门批复后如有变化，将依据法定程序向区人大常委会报告。</w:t>
      </w:r>
    </w:p>
    <w:p>
      <w:pPr>
        <w:widowControl w:val="0"/>
        <w:spacing w:line="580" w:lineRule="exact"/>
        <w:ind w:firstLine="640" w:firstLineChars="200"/>
        <w:jc w:val="both"/>
        <w:rPr>
          <w:rFonts w:ascii="黑体" w:hAnsi="黑体" w:eastAsia="黑体" w:cs="黑体"/>
          <w:color w:val="000000" w:themeColor="text1"/>
          <w:kern w:val="10"/>
          <w:sz w:val="32"/>
          <w:szCs w:val="32"/>
          <w:highlight w:val="none"/>
          <w14:textFill>
            <w14:solidFill>
              <w14:schemeClr w14:val="tx1"/>
            </w14:solidFill>
          </w14:textFill>
        </w:rPr>
      </w:pPr>
      <w:r>
        <w:rPr>
          <w:rFonts w:hint="eastAsia" w:ascii="黑体" w:hAnsi="黑体" w:eastAsia="黑体" w:cs="黑体"/>
          <w:color w:val="000000" w:themeColor="text1"/>
          <w:kern w:val="10"/>
          <w:sz w:val="32"/>
          <w:szCs w:val="32"/>
          <w:highlight w:val="none"/>
          <w14:textFill>
            <w14:solidFill>
              <w14:schemeClr w14:val="tx1"/>
            </w14:solidFill>
          </w14:textFill>
        </w:rPr>
        <w:t>二、202</w:t>
      </w:r>
      <w:r>
        <w:rPr>
          <w:rFonts w:hint="eastAsia" w:ascii="黑体" w:hAnsi="黑体" w:eastAsia="黑体" w:cs="黑体"/>
          <w:color w:val="000000" w:themeColor="text1"/>
          <w:kern w:val="10"/>
          <w:sz w:val="32"/>
          <w:szCs w:val="32"/>
          <w:highlight w:val="none"/>
          <w:lang w:val="en-US" w:eastAsia="zh-CN"/>
          <w14:textFill>
            <w14:solidFill>
              <w14:schemeClr w14:val="tx1"/>
            </w14:solidFill>
          </w14:textFill>
        </w:rPr>
        <w:t>2</w:t>
      </w:r>
      <w:r>
        <w:rPr>
          <w:rFonts w:hint="eastAsia" w:ascii="黑体" w:hAnsi="黑体" w:eastAsia="黑体" w:cs="黑体"/>
          <w:color w:val="000000" w:themeColor="text1"/>
          <w:kern w:val="10"/>
          <w:sz w:val="32"/>
          <w:szCs w:val="32"/>
          <w:highlight w:val="none"/>
          <w14:textFill>
            <w14:solidFill>
              <w14:schemeClr w14:val="tx1"/>
            </w14:solidFill>
          </w14:textFill>
        </w:rPr>
        <w:t>年主要财政工作</w:t>
      </w:r>
    </w:p>
    <w:p>
      <w:pPr>
        <w:widowControl w:val="0"/>
        <w:spacing w:line="580" w:lineRule="exact"/>
        <w:ind w:firstLine="640" w:firstLineChars="200"/>
        <w:jc w:val="both"/>
        <w:rPr>
          <w:rFonts w:hint="default" w:ascii="楷体_GB2312" w:hAnsi="仿宋_GB2312" w:eastAsia="楷体_GB2312" w:cs="仿宋_GB2312"/>
          <w:color w:val="000000" w:themeColor="text1"/>
          <w:kern w:val="2"/>
          <w:sz w:val="32"/>
          <w:szCs w:val="32"/>
          <w:highlight w:val="none"/>
          <w:lang w:val="en-US" w:eastAsia="zh-CN"/>
          <w14:textFill>
            <w14:solidFill>
              <w14:schemeClr w14:val="tx1"/>
            </w14:solidFill>
          </w14:textFill>
        </w:rPr>
      </w:pPr>
      <w:r>
        <w:rPr>
          <w:rFonts w:hint="eastAsia" w:ascii="楷体_GB2312" w:hAnsi="仿宋_GB2312" w:eastAsia="楷体_GB2312" w:cs="仿宋_GB2312"/>
          <w:color w:val="000000" w:themeColor="text1"/>
          <w:kern w:val="2"/>
          <w:sz w:val="32"/>
          <w:szCs w:val="32"/>
          <w:highlight w:val="none"/>
          <w14:textFill>
            <w14:solidFill>
              <w14:schemeClr w14:val="tx1"/>
            </w14:solidFill>
          </w14:textFill>
        </w:rPr>
        <w:t>（一）</w:t>
      </w:r>
      <w:r>
        <w:rPr>
          <w:rFonts w:hint="eastAsia" w:ascii="楷体_GB2312" w:hAnsi="仿宋_GB2312" w:eastAsia="楷体_GB2312" w:cs="仿宋_GB2312"/>
          <w:color w:val="000000" w:themeColor="text1"/>
          <w:kern w:val="2"/>
          <w:sz w:val="32"/>
          <w:szCs w:val="32"/>
          <w:highlight w:val="none"/>
          <w:lang w:val="en-US" w:eastAsia="zh-CN"/>
          <w14:textFill>
            <w14:solidFill>
              <w14:schemeClr w14:val="tx1"/>
            </w14:solidFill>
          </w14:textFill>
        </w:rPr>
        <w:t>努力增加财政收入</w:t>
      </w:r>
    </w:p>
    <w:p>
      <w:pPr>
        <w:widowControl/>
        <w:spacing w:line="580" w:lineRule="exact"/>
        <w:ind w:firstLine="640"/>
        <w:jc w:val="both"/>
        <w:rPr>
          <w:rFonts w:hint="default"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建立健全综合治税长效机制。</w:t>
      </w:r>
      <w:r>
        <w:rPr>
          <w:rFonts w:hint="eastAsia" w:ascii="仿宋_GB2312" w:hAnsi="仿宋_GB2312" w:eastAsia="仿宋_GB2312" w:cs="仿宋_GB2312"/>
          <w:b w:val="0"/>
          <w:bCs/>
          <w:spacing w:val="0"/>
          <w:kern w:val="0"/>
          <w:sz w:val="32"/>
          <w:szCs w:val="32"/>
          <w:highlight w:val="none"/>
          <w:lang w:val="en-US" w:eastAsia="zh-CN" w:bidi="ar-SA"/>
        </w:rPr>
        <w:t>推动警税协作常态化实体化，建强警税办公室，配备专职人员，</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规范涉税信息安全管理，完善收入征管方式，堵塞征管漏洞，深挖收入潜力，做到应收尽收。清查房地产、建筑、铁合金企业等82 家，清算缴纳税款6439万元。开展房地产税、土地使用税、耕地占用税、契税等专项清查，补缴税款9852万元。</w:t>
      </w: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加强政府非税收入管理。</w:t>
      </w:r>
      <w:r>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t>准确掌握全区非税收入费源信息，强化非税收入监督检查，加强对相关单位摸排和梳理，督促收入入库，应收尽收。</w:t>
      </w: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提高税收经济分析水平。</w:t>
      </w:r>
      <w:r>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t>落实月度、季度、年度财税工作会制度，对乡镇街道和相关单位层层传导压力、步步压实责任，加强对行业、企业税负变动情况微观分析，查找税源管理存在问题，密切跟踪各项涉税政策执行对财政收入的影响，大力开展税收征管、重点税种管理和企业纳税情况评估，切实增强税收征管有效性和针对性。</w:t>
      </w:r>
    </w:p>
    <w:p>
      <w:pPr>
        <w:widowControl w:val="0"/>
        <w:spacing w:line="580" w:lineRule="exact"/>
        <w:ind w:firstLine="640" w:firstLineChars="200"/>
        <w:jc w:val="both"/>
        <w:rPr>
          <w:rFonts w:hint="default" w:ascii="楷体_GB2312" w:hAnsi="仿宋_GB2312" w:eastAsia="楷体_GB2312" w:cs="仿宋_GB2312"/>
          <w:color w:val="000000" w:themeColor="text1"/>
          <w:kern w:val="2"/>
          <w:sz w:val="32"/>
          <w:szCs w:val="32"/>
          <w:highlight w:val="none"/>
          <w:lang w:val="en-US" w:eastAsia="zh-CN"/>
          <w14:textFill>
            <w14:solidFill>
              <w14:schemeClr w14:val="tx1"/>
            </w14:solidFill>
          </w14:textFill>
        </w:rPr>
      </w:pPr>
      <w:r>
        <w:rPr>
          <w:rFonts w:hint="eastAsia" w:ascii="楷体_GB2312" w:hAnsi="仿宋_GB2312" w:eastAsia="楷体_GB2312" w:cs="仿宋_GB2312"/>
          <w:color w:val="000000" w:themeColor="text1"/>
          <w:kern w:val="2"/>
          <w:sz w:val="32"/>
          <w:szCs w:val="32"/>
          <w:highlight w:val="none"/>
          <w14:textFill>
            <w14:solidFill>
              <w14:schemeClr w14:val="tx1"/>
            </w14:solidFill>
          </w14:textFill>
        </w:rPr>
        <w:t>（二）</w:t>
      </w:r>
      <w:r>
        <w:rPr>
          <w:rFonts w:hint="eastAsia" w:ascii="楷体_GB2312" w:hAnsi="仿宋_GB2312" w:eastAsia="楷体_GB2312" w:cs="仿宋_GB2312"/>
          <w:color w:val="000000" w:themeColor="text1"/>
          <w:kern w:val="2"/>
          <w:sz w:val="32"/>
          <w:szCs w:val="32"/>
          <w:highlight w:val="none"/>
          <w:lang w:val="en-US" w:eastAsia="zh-CN"/>
          <w14:textFill>
            <w14:solidFill>
              <w14:schemeClr w14:val="tx1"/>
            </w14:solidFill>
          </w14:textFill>
        </w:rPr>
        <w:t>深入推进财政管理</w:t>
      </w:r>
    </w:p>
    <w:p>
      <w:pPr>
        <w:widowControl w:val="0"/>
        <w:spacing w:line="580" w:lineRule="exact"/>
        <w:ind w:firstLine="642" w:firstLineChars="200"/>
        <w:jc w:val="both"/>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宋体"/>
          <w:b/>
          <w:color w:val="000000" w:themeColor="text1"/>
          <w:kern w:val="0"/>
          <w:sz w:val="32"/>
          <w:szCs w:val="32"/>
          <w:highlight w:val="none"/>
          <w:lang w:val="en-US" w:eastAsia="zh-CN"/>
          <w14:textFill>
            <w14:solidFill>
              <w14:schemeClr w14:val="tx1"/>
            </w14:solidFill>
          </w14:textFill>
        </w:rPr>
        <w:t>持续落实</w:t>
      </w:r>
      <w:r>
        <w:rPr>
          <w:rFonts w:hint="eastAsia" w:ascii="仿宋_GB2312" w:hAnsi="仿宋_GB2312" w:eastAsia="仿宋_GB2312" w:cs="宋体"/>
          <w:b/>
          <w:color w:val="000000" w:themeColor="text1"/>
          <w:kern w:val="0"/>
          <w:sz w:val="32"/>
          <w:szCs w:val="32"/>
          <w:highlight w:val="none"/>
          <w14:textFill>
            <w14:solidFill>
              <w14:schemeClr w14:val="tx1"/>
            </w14:solidFill>
          </w14:textFill>
        </w:rPr>
        <w:t>“一卡通”管理。</w:t>
      </w:r>
      <w:r>
        <w:rPr>
          <w:rFonts w:hint="eastAsia" w:ascii="仿宋_GB2312" w:hAnsi="仿宋_GB2312" w:eastAsia="仿宋_GB2312" w:cs="宋体"/>
          <w:bCs/>
          <w:color w:val="000000" w:themeColor="text1"/>
          <w:kern w:val="0"/>
          <w:sz w:val="32"/>
          <w:szCs w:val="32"/>
          <w:highlight w:val="none"/>
          <w14:textFill>
            <w14:solidFill>
              <w14:schemeClr w14:val="tx1"/>
            </w14:solidFill>
          </w14:textFill>
        </w:rPr>
        <w:t>通过“一卡通”管理系统发放惠民惠农项目补贴资金1003</w:t>
      </w:r>
      <w:r>
        <w:rPr>
          <w:rFonts w:hint="eastAsia" w:ascii="仿宋_GB2312" w:hAnsi="仿宋_GB2312" w:eastAsia="仿宋_GB2312" w:cs="宋体"/>
          <w:bCs/>
          <w:color w:val="000000" w:themeColor="text1"/>
          <w:kern w:val="0"/>
          <w:sz w:val="32"/>
          <w:szCs w:val="32"/>
          <w:highlight w:val="none"/>
          <w:lang w:val="en-US" w:eastAsia="zh-CN"/>
          <w14:textFill>
            <w14:solidFill>
              <w14:schemeClr w14:val="tx1"/>
            </w14:solidFill>
          </w14:textFill>
        </w:rPr>
        <w:t>7</w:t>
      </w:r>
      <w:r>
        <w:rPr>
          <w:rFonts w:hint="eastAsia" w:ascii="仿宋_GB2312" w:hAnsi="仿宋_GB2312" w:eastAsia="仿宋_GB2312" w:cs="宋体"/>
          <w:bCs/>
          <w:color w:val="000000" w:themeColor="text1"/>
          <w:kern w:val="0"/>
          <w:sz w:val="32"/>
          <w:szCs w:val="32"/>
          <w:highlight w:val="none"/>
          <w14:textFill>
            <w14:solidFill>
              <w14:schemeClr w14:val="tx1"/>
            </w14:solidFill>
          </w14:textFill>
        </w:rPr>
        <w:t>万元、399750人次。</w:t>
      </w:r>
      <w:r>
        <w:rPr>
          <w:rFonts w:hint="eastAsia" w:ascii="仿宋_GB2312" w:hAnsi="仿宋_GB2312" w:eastAsia="仿宋_GB2312" w:cs="宋体"/>
          <w:b/>
          <w:color w:val="000000" w:themeColor="text1"/>
          <w:kern w:val="0"/>
          <w:sz w:val="32"/>
          <w:szCs w:val="32"/>
          <w:highlight w:val="none"/>
          <w:lang w:val="en-US" w:eastAsia="zh-CN"/>
          <w14:textFill>
            <w14:solidFill>
              <w14:schemeClr w14:val="tx1"/>
            </w14:solidFill>
          </w14:textFill>
        </w:rPr>
        <w:t>实现</w:t>
      </w:r>
      <w:r>
        <w:rPr>
          <w:rFonts w:hint="eastAsia" w:ascii="仿宋_GB2312" w:hAnsi="仿宋_GB2312" w:eastAsia="仿宋_GB2312" w:cs="宋体"/>
          <w:b/>
          <w:color w:val="000000" w:themeColor="text1"/>
          <w:kern w:val="0"/>
          <w:sz w:val="32"/>
          <w:szCs w:val="32"/>
          <w:highlight w:val="none"/>
          <w14:textFill>
            <w14:solidFill>
              <w14:schemeClr w14:val="tx1"/>
            </w14:solidFill>
          </w14:textFill>
        </w:rPr>
        <w:t>预算管理一体化改革。</w:t>
      </w:r>
      <w:r>
        <w:rPr>
          <w:rFonts w:hint="eastAsia" w:ascii="仿宋_GB2312" w:hAnsi="仿宋_GB2312" w:eastAsia="仿宋_GB2312" w:cs="宋体"/>
          <w:b w:val="0"/>
          <w:bCs/>
          <w:color w:val="000000" w:themeColor="text1"/>
          <w:kern w:val="0"/>
          <w:sz w:val="32"/>
          <w:szCs w:val="32"/>
          <w:highlight w:val="none"/>
          <w14:textFill>
            <w14:solidFill>
              <w14:schemeClr w14:val="tx1"/>
            </w14:solidFill>
          </w14:textFill>
        </w:rPr>
        <w:t>按上级要求积极推进一体</w:t>
      </w:r>
      <w:r>
        <w:rPr>
          <w:rFonts w:hint="eastAsia" w:ascii="仿宋_GB2312" w:hAnsi="仿宋_GB2312" w:eastAsia="仿宋_GB2312" w:cs="宋体"/>
          <w:b w:val="0"/>
          <w:bCs/>
          <w:color w:val="000000" w:themeColor="text1"/>
          <w:kern w:val="0"/>
          <w:sz w:val="32"/>
          <w:szCs w:val="32"/>
          <w:highlight w:val="none"/>
          <w:lang w:val="en-US" w:eastAsia="zh-CN"/>
          <w14:textFill>
            <w14:solidFill>
              <w14:schemeClr w14:val="tx1"/>
            </w14:solidFill>
          </w14:textFill>
        </w:rPr>
        <w:t>化</w:t>
      </w:r>
      <w:r>
        <w:rPr>
          <w:rFonts w:hint="eastAsia" w:ascii="仿宋_GB2312" w:hAnsi="仿宋_GB2312" w:eastAsia="仿宋_GB2312" w:cs="宋体"/>
          <w:b w:val="0"/>
          <w:bCs/>
          <w:color w:val="000000" w:themeColor="text1"/>
          <w:kern w:val="0"/>
          <w:sz w:val="32"/>
          <w:szCs w:val="32"/>
          <w:highlight w:val="none"/>
          <w14:textFill>
            <w14:solidFill>
              <w14:schemeClr w14:val="tx1"/>
            </w14:solidFill>
          </w14:textFill>
        </w:rPr>
        <w:t>改革工作，2022年顺利实现全区预算单位预算管理一体化系统上线运行，通过预算管理一体化系统实现了对预算全流程动态反映和有效控制，并使用一体化系统编制了2023年部门预算。</w:t>
      </w:r>
      <w:r>
        <w:rPr>
          <w:rFonts w:hint="eastAsia" w:ascii="仿宋_GB2312" w:hAnsi="仿宋_GB2312" w:eastAsia="仿宋_GB2312" w:cs="宋体"/>
          <w:b/>
          <w:color w:val="000000" w:themeColor="text1"/>
          <w:kern w:val="0"/>
          <w:sz w:val="32"/>
          <w:szCs w:val="32"/>
          <w:highlight w:val="none"/>
          <w:lang w:val="en-US" w:eastAsia="zh-CN"/>
          <w14:textFill>
            <w14:solidFill>
              <w14:schemeClr w14:val="tx1"/>
            </w14:solidFill>
          </w14:textFill>
        </w:rPr>
        <w:t>统筹</w:t>
      </w:r>
      <w:r>
        <w:rPr>
          <w:rFonts w:hint="eastAsia" w:ascii="仿宋_GB2312" w:hAnsi="仿宋_GB2312" w:eastAsia="仿宋_GB2312" w:cs="宋体"/>
          <w:b/>
          <w:color w:val="000000" w:themeColor="text1"/>
          <w:kern w:val="0"/>
          <w:sz w:val="32"/>
          <w:szCs w:val="32"/>
          <w:highlight w:val="none"/>
          <w14:textFill>
            <w14:solidFill>
              <w14:schemeClr w14:val="tx1"/>
            </w14:solidFill>
          </w14:textFill>
        </w:rPr>
        <w:t>财政存量资金。</w:t>
      </w:r>
      <w:r>
        <w:rPr>
          <w:rFonts w:hint="eastAsia" w:ascii="仿宋_GB2312" w:hAnsi="仿宋_GB2312" w:eastAsia="仿宋_GB2312" w:cs="宋体"/>
          <w:b w:val="0"/>
          <w:bCs/>
          <w:color w:val="000000" w:themeColor="text1"/>
          <w:kern w:val="0"/>
          <w:sz w:val="32"/>
          <w:szCs w:val="32"/>
          <w:highlight w:val="none"/>
          <w:lang w:val="en-US" w:eastAsia="zh-CN"/>
          <w14:textFill>
            <w14:solidFill>
              <w14:schemeClr w14:val="tx1"/>
            </w14:solidFill>
          </w14:textFill>
        </w:rPr>
        <w:t>持续开展存量资金清理工作</w:t>
      </w:r>
      <w:r>
        <w:rPr>
          <w:rFonts w:hint="eastAsia" w:ascii="仿宋_GB2312" w:hAnsi="仿宋_GB2312" w:eastAsia="仿宋_GB2312" w:cs="宋体"/>
          <w:b w:val="0"/>
          <w:bCs/>
          <w:color w:val="000000" w:themeColor="text1"/>
          <w:kern w:val="0"/>
          <w:sz w:val="32"/>
          <w:szCs w:val="32"/>
          <w:highlight w:val="none"/>
          <w14:textFill>
            <w14:solidFill>
              <w14:schemeClr w14:val="tx1"/>
            </w14:solidFill>
          </w14:textFill>
        </w:rPr>
        <w:t>，收回预算单位各类存量资金1.7亿元，统筹用于资金急需领域</w:t>
      </w:r>
      <w:r>
        <w:rPr>
          <w:rFonts w:hint="eastAsia" w:ascii="仿宋_GB2312" w:hAnsi="仿宋_GB2312" w:eastAsia="仿宋_GB2312" w:cs="宋体"/>
          <w:b w:val="0"/>
          <w:bCs/>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宋体"/>
          <w:b w:val="0"/>
          <w:bCs/>
          <w:color w:val="000000" w:themeColor="text1"/>
          <w:kern w:val="0"/>
          <w:sz w:val="32"/>
          <w:szCs w:val="32"/>
          <w:highlight w:val="none"/>
          <w:lang w:val="en-US" w:eastAsia="zh-CN"/>
          <w14:textFill>
            <w14:solidFill>
              <w14:schemeClr w14:val="tx1"/>
            </w14:solidFill>
          </w14:textFill>
        </w:rPr>
        <w:t>盘活了财政资金</w:t>
      </w:r>
      <w:r>
        <w:rPr>
          <w:rFonts w:hint="eastAsia" w:ascii="仿宋_GB2312" w:hAnsi="仿宋_GB2312" w:eastAsia="仿宋_GB2312" w:cs="宋体"/>
          <w:b w:val="0"/>
          <w:bCs/>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b/>
          <w:bCs w:val="0"/>
          <w:color w:val="000000" w:themeColor="text1"/>
          <w:kern w:val="2"/>
          <w:sz w:val="32"/>
          <w:szCs w:val="32"/>
          <w:highlight w:val="none"/>
          <w:lang w:val="en-US" w:eastAsia="zh-CN"/>
          <w14:textFill>
            <w14:solidFill>
              <w14:schemeClr w14:val="tx1"/>
            </w14:solidFill>
          </w14:textFill>
        </w:rPr>
        <w:t>加强</w:t>
      </w:r>
      <w:r>
        <w:rPr>
          <w:rFonts w:hint="eastAsia" w:ascii="仿宋_GB2312" w:hAnsi="仿宋_GB2312" w:eastAsia="仿宋_GB2312" w:cs="仿宋_GB2312"/>
          <w:b/>
          <w:bCs w:val="0"/>
          <w:color w:val="000000" w:themeColor="text1"/>
          <w:kern w:val="2"/>
          <w:sz w:val="32"/>
          <w:szCs w:val="32"/>
          <w:highlight w:val="none"/>
          <w14:textFill>
            <w14:solidFill>
              <w14:schemeClr w14:val="tx1"/>
            </w14:solidFill>
          </w14:textFill>
        </w:rPr>
        <w:t>政府采购管理。</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全年网上商城采购355次，采购金额70</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万元，小额采购实现了价格可比、公开透明、便捷高效。全年限额以上采购项目79个，预算金额1136</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万元，中标金额105</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80</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万元，节约783万元，节约率6.9%。</w:t>
      </w:r>
      <w:r>
        <w:rPr>
          <w:rFonts w:hint="eastAsia" w:ascii="仿宋_GB2312" w:hAnsi="仿宋_GB2312" w:eastAsia="仿宋_GB2312" w:cs="仿宋_GB2312"/>
          <w:b/>
          <w:bCs/>
          <w:color w:val="000000" w:themeColor="text1"/>
          <w:kern w:val="2"/>
          <w:sz w:val="32"/>
          <w:szCs w:val="32"/>
          <w:highlight w:val="none"/>
          <w14:textFill>
            <w14:solidFill>
              <w14:schemeClr w14:val="tx1"/>
            </w14:solidFill>
          </w14:textFill>
        </w:rPr>
        <w:t>提升国资监管水平。</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持续加强全区行政事业单位国有资产管理工作，规范资产使用处置流程，建立资产管理长效机制。加快国有公司改革力度，法人治理结构进一步完善，“四同步，四对接”良性发展，国有资产保值增值目标实现。</w:t>
      </w:r>
      <w:r>
        <w:rPr>
          <w:rFonts w:hint="eastAsia" w:ascii="仿宋_GB2312" w:hAnsi="仿宋_GB2312" w:eastAsia="仿宋_GB2312" w:cs="仿宋_GB2312"/>
          <w:b/>
          <w:bCs/>
          <w:color w:val="000000" w:themeColor="text1"/>
          <w:kern w:val="2"/>
          <w:sz w:val="32"/>
          <w:szCs w:val="32"/>
          <w:highlight w:val="none"/>
          <w:lang w:val="en-US" w:eastAsia="zh-CN"/>
          <w14:textFill>
            <w14:solidFill>
              <w14:schemeClr w14:val="tx1"/>
            </w14:solidFill>
          </w14:textFill>
        </w:rPr>
        <w:t>持续做好</w:t>
      </w:r>
      <w:r>
        <w:rPr>
          <w:rFonts w:hint="eastAsia" w:ascii="仿宋_GB2312" w:hAnsi="仿宋_GB2312" w:eastAsia="仿宋_GB2312" w:cs="仿宋_GB2312"/>
          <w:b/>
          <w:bCs/>
          <w:color w:val="000000" w:themeColor="text1"/>
          <w:kern w:val="2"/>
          <w:sz w:val="32"/>
          <w:szCs w:val="32"/>
          <w:highlight w:val="none"/>
          <w14:textFill>
            <w14:solidFill>
              <w14:schemeClr w14:val="tx1"/>
            </w14:solidFill>
          </w14:textFill>
        </w:rPr>
        <w:t>会计管理</w:t>
      </w:r>
      <w:r>
        <w:rPr>
          <w:rFonts w:hint="eastAsia" w:ascii="仿宋_GB2312" w:hAnsi="仿宋_GB2312" w:eastAsia="仿宋_GB2312" w:cs="仿宋_GB2312"/>
          <w:b/>
          <w:bCs/>
          <w:color w:val="000000" w:themeColor="text1"/>
          <w:kern w:val="2"/>
          <w:sz w:val="32"/>
          <w:szCs w:val="32"/>
          <w:highlight w:val="none"/>
          <w:lang w:val="en-US" w:eastAsia="zh-CN"/>
          <w14:textFill>
            <w14:solidFill>
              <w14:schemeClr w14:val="tx1"/>
            </w14:solidFill>
          </w14:textFill>
        </w:rPr>
        <w:t>工作</w:t>
      </w:r>
      <w:r>
        <w:rPr>
          <w:rFonts w:hint="eastAsia" w:ascii="仿宋_GB2312" w:hAnsi="仿宋_GB2312" w:eastAsia="仿宋_GB2312" w:cs="仿宋_GB2312"/>
          <w:b/>
          <w:bCs/>
          <w:color w:val="000000" w:themeColor="text1"/>
          <w:kern w:val="2"/>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新增代理记账机构3家，到期换证1家，完成年度备案机构10家，完成会计专业技术人员信息采集1035人。</w:t>
      </w:r>
      <w:r>
        <w:rPr>
          <w:rFonts w:hint="eastAsia" w:ascii="仿宋_GB2312" w:hAnsi="仿宋_GB2312" w:eastAsia="仿宋_GB2312" w:cs="仿宋_GB2312"/>
          <w:b/>
          <w:bCs/>
          <w:color w:val="000000" w:themeColor="text1"/>
          <w:kern w:val="2"/>
          <w:sz w:val="32"/>
          <w:szCs w:val="32"/>
          <w:highlight w:val="none"/>
          <w14:textFill>
            <w14:solidFill>
              <w14:schemeClr w14:val="tx1"/>
            </w14:solidFill>
          </w14:textFill>
        </w:rPr>
        <w:t>强化政府投资项目预决算评审。</w:t>
      </w:r>
      <w:r>
        <w:rPr>
          <w:rFonts w:hint="eastAsia" w:ascii="仿宋_GB2312" w:hAnsi="仿宋_GB2312" w:eastAsia="仿宋_GB2312" w:cs="仿宋_GB2312"/>
          <w:b w:val="0"/>
          <w:bCs/>
          <w:color w:val="000000"/>
          <w:kern w:val="2"/>
          <w:sz w:val="32"/>
          <w:szCs w:val="32"/>
          <w:highlight w:val="none"/>
          <w:lang w:val="en-US" w:eastAsia="zh-CN"/>
        </w:rPr>
        <w:t>制定了三个政府投资基建项目全过程投资评审管理配套文件，完成了35家第三方协作服务机构公开竞标入选工作，调整了区级财政性投资项目工程预结算评审最低限额。</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全年共评审工程项目332个，送审金额104502万元，审定金额为96</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300</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万元，审减金额8202万元，审减率达7.</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kern w:val="2"/>
          <w:sz w:val="32"/>
          <w:szCs w:val="32"/>
          <w:highlight w:val="none"/>
          <w:lang w:val="en-US" w:eastAsia="zh-CN"/>
          <w14:textFill>
            <w14:solidFill>
              <w14:schemeClr w14:val="tx1"/>
            </w14:solidFill>
          </w14:textFill>
        </w:rPr>
        <w:t>持续推进预算绩效管理。</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开展多层次绩效评价工作，组织完成 2022年度绩效自评工作，项目绩效自评范围进一步扩大，各预算部门上报绩效自评项目 743个，较 2021年度增加 194个。聚焦民生保障、城市建设、生态保护等领域，对5个重点项目开展重点绩效监控工作，共监控项目绩效目标743个，整体绩效目标73个。</w:t>
      </w:r>
    </w:p>
    <w:p>
      <w:pPr>
        <w:widowControl w:val="0"/>
        <w:spacing w:line="580" w:lineRule="exact"/>
        <w:ind w:firstLine="640" w:firstLineChars="200"/>
        <w:jc w:val="both"/>
        <w:rPr>
          <w:rFonts w:ascii="楷体_GB2312" w:hAnsi="仿宋_GB2312" w:eastAsia="楷体_GB2312" w:cs="仿宋_GB2312"/>
          <w:color w:val="000000" w:themeColor="text1"/>
          <w:kern w:val="2"/>
          <w:sz w:val="32"/>
          <w:szCs w:val="32"/>
          <w:highlight w:val="none"/>
          <w14:textFill>
            <w14:solidFill>
              <w14:schemeClr w14:val="tx1"/>
            </w14:solidFill>
          </w14:textFill>
        </w:rPr>
      </w:pPr>
      <w:r>
        <w:rPr>
          <w:rFonts w:hint="eastAsia" w:ascii="楷体_GB2312" w:hAnsi="仿宋_GB2312" w:eastAsia="楷体_GB2312" w:cs="仿宋_GB2312"/>
          <w:color w:val="000000" w:themeColor="text1"/>
          <w:kern w:val="2"/>
          <w:sz w:val="32"/>
          <w:szCs w:val="32"/>
          <w:highlight w:val="none"/>
          <w14:textFill>
            <w14:solidFill>
              <w14:schemeClr w14:val="tx1"/>
            </w14:solidFill>
          </w14:textFill>
        </w:rPr>
        <w:t>（</w:t>
      </w:r>
      <w:r>
        <w:rPr>
          <w:rFonts w:hint="eastAsia" w:ascii="楷体_GB2312" w:hAnsi="仿宋_GB2312" w:eastAsia="楷体_GB2312" w:cs="仿宋_GB2312"/>
          <w:color w:val="000000" w:themeColor="text1"/>
          <w:kern w:val="2"/>
          <w:sz w:val="32"/>
          <w:szCs w:val="32"/>
          <w:highlight w:val="none"/>
          <w:lang w:val="en-US" w:eastAsia="zh-CN"/>
          <w14:textFill>
            <w14:solidFill>
              <w14:schemeClr w14:val="tx1"/>
            </w14:solidFill>
          </w14:textFill>
        </w:rPr>
        <w:t>三</w:t>
      </w:r>
      <w:r>
        <w:rPr>
          <w:rFonts w:hint="eastAsia" w:ascii="楷体_GB2312" w:hAnsi="仿宋_GB2312" w:eastAsia="楷体_GB2312" w:cs="仿宋_GB2312"/>
          <w:color w:val="000000" w:themeColor="text1"/>
          <w:kern w:val="2"/>
          <w:sz w:val="32"/>
          <w:szCs w:val="32"/>
          <w:highlight w:val="none"/>
          <w14:textFill>
            <w14:solidFill>
              <w14:schemeClr w14:val="tx1"/>
            </w14:solidFill>
          </w14:textFill>
        </w:rPr>
        <w:t>）</w:t>
      </w:r>
      <w:r>
        <w:rPr>
          <w:rFonts w:hint="eastAsia" w:ascii="楷体_GB2312" w:hAnsi="仿宋_GB2312" w:eastAsia="楷体_GB2312" w:cs="仿宋_GB2312"/>
          <w:color w:val="000000" w:themeColor="text1"/>
          <w:kern w:val="2"/>
          <w:sz w:val="32"/>
          <w:szCs w:val="32"/>
          <w:highlight w:val="none"/>
          <w:lang w:val="en-US" w:eastAsia="zh-CN"/>
          <w14:textFill>
            <w14:solidFill>
              <w14:schemeClr w14:val="tx1"/>
            </w14:solidFill>
          </w14:textFill>
        </w:rPr>
        <w:t>全面推进</w:t>
      </w:r>
      <w:r>
        <w:rPr>
          <w:rFonts w:hint="eastAsia" w:ascii="楷体_GB2312" w:hAnsi="仿宋_GB2312" w:eastAsia="楷体_GB2312" w:cs="仿宋_GB2312"/>
          <w:color w:val="000000" w:themeColor="text1"/>
          <w:kern w:val="2"/>
          <w:sz w:val="32"/>
          <w:szCs w:val="32"/>
          <w:highlight w:val="none"/>
          <w14:textFill>
            <w14:solidFill>
              <w14:schemeClr w14:val="tx1"/>
            </w14:solidFill>
          </w14:textFill>
        </w:rPr>
        <w:t>乡村振兴</w:t>
      </w:r>
    </w:p>
    <w:p>
      <w:pPr>
        <w:widowControl w:val="0"/>
        <w:spacing w:line="580" w:lineRule="exact"/>
        <w:ind w:firstLine="640" w:firstLineChars="200"/>
        <w:jc w:val="both"/>
        <w:rPr>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kern w:val="2"/>
          <w:sz w:val="32"/>
          <w:szCs w:val="32"/>
          <w:highlight w:val="none"/>
        </w:rPr>
        <w:t>立足巩固拓展脱贫攻坚成果同乡村振兴有效衔接，围绕“米袋子”和“菜篮子”，用足用好各类农业资金，</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全年安排乡村振兴有效</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衔</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接资金3618万元，主要用于基础设施、产业扶贫、雨露计划、小额贴息、第一书记工作经费等项目。安排耕地地力保护补贴资金1898万元，</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安排</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种粮农民一次性补贴</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66</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2万元，</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安排</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大中型水库移民补贴资金925万元，安排农业保险参保财政补助资金</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178</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万元。</w:t>
      </w:r>
    </w:p>
    <w:p>
      <w:pPr>
        <w:widowControl w:val="0"/>
        <w:spacing w:line="580" w:lineRule="exact"/>
        <w:ind w:firstLine="640" w:firstLineChars="200"/>
        <w:jc w:val="both"/>
        <w:rPr>
          <w:rFonts w:ascii="楷体_GB2312" w:hAnsi="仿宋_GB2312" w:eastAsia="楷体_GB2312" w:cs="仿宋_GB2312"/>
          <w:color w:val="000000" w:themeColor="text1"/>
          <w:kern w:val="2"/>
          <w:sz w:val="32"/>
          <w:szCs w:val="32"/>
          <w:highlight w:val="none"/>
          <w14:textFill>
            <w14:solidFill>
              <w14:schemeClr w14:val="tx1"/>
            </w14:solidFill>
          </w14:textFill>
        </w:rPr>
      </w:pPr>
      <w:r>
        <w:rPr>
          <w:rFonts w:hint="eastAsia" w:ascii="楷体_GB2312" w:hAnsi="仿宋_GB2312" w:eastAsia="楷体_GB2312" w:cs="仿宋_GB2312"/>
          <w:color w:val="000000" w:themeColor="text1"/>
          <w:kern w:val="2"/>
          <w:sz w:val="32"/>
          <w:szCs w:val="32"/>
          <w:highlight w:val="none"/>
          <w14:textFill>
            <w14:solidFill>
              <w14:schemeClr w14:val="tx1"/>
            </w14:solidFill>
          </w14:textFill>
        </w:rPr>
        <w:t>（</w:t>
      </w:r>
      <w:r>
        <w:rPr>
          <w:rFonts w:hint="eastAsia" w:ascii="楷体_GB2312" w:hAnsi="仿宋_GB2312" w:eastAsia="楷体_GB2312" w:cs="仿宋_GB2312"/>
          <w:color w:val="000000" w:themeColor="text1"/>
          <w:kern w:val="2"/>
          <w:sz w:val="32"/>
          <w:szCs w:val="32"/>
          <w:highlight w:val="none"/>
          <w:lang w:val="en-US" w:eastAsia="zh-CN"/>
          <w14:textFill>
            <w14:solidFill>
              <w14:schemeClr w14:val="tx1"/>
            </w14:solidFill>
          </w14:textFill>
        </w:rPr>
        <w:t>四</w:t>
      </w:r>
      <w:r>
        <w:rPr>
          <w:rFonts w:hint="eastAsia" w:ascii="楷体_GB2312" w:hAnsi="仿宋_GB2312" w:eastAsia="楷体_GB2312" w:cs="仿宋_GB2312"/>
          <w:color w:val="000000" w:themeColor="text1"/>
          <w:kern w:val="2"/>
          <w:sz w:val="32"/>
          <w:szCs w:val="32"/>
          <w:highlight w:val="none"/>
          <w14:textFill>
            <w14:solidFill>
              <w14:schemeClr w14:val="tx1"/>
            </w14:solidFill>
          </w14:textFill>
        </w:rPr>
        <w:t>）</w:t>
      </w:r>
      <w:r>
        <w:rPr>
          <w:rFonts w:hint="eastAsia" w:ascii="楷体_GB2312" w:hAnsi="仿宋_GB2312" w:eastAsia="楷体_GB2312" w:cs="仿宋_GB2312"/>
          <w:color w:val="000000" w:themeColor="text1"/>
          <w:kern w:val="2"/>
          <w:sz w:val="32"/>
          <w:szCs w:val="32"/>
          <w:highlight w:val="none"/>
          <w:lang w:val="en-US" w:eastAsia="zh-CN"/>
          <w14:textFill>
            <w14:solidFill>
              <w14:schemeClr w14:val="tx1"/>
            </w14:solidFill>
          </w14:textFill>
        </w:rPr>
        <w:t>支持</w:t>
      </w:r>
      <w:r>
        <w:rPr>
          <w:rFonts w:hint="eastAsia" w:ascii="楷体_GB2312" w:hAnsi="仿宋_GB2312" w:eastAsia="楷体_GB2312" w:cs="仿宋_GB2312"/>
          <w:color w:val="000000" w:themeColor="text1"/>
          <w:kern w:val="2"/>
          <w:sz w:val="32"/>
          <w:szCs w:val="32"/>
          <w:highlight w:val="none"/>
          <w14:textFill>
            <w14:solidFill>
              <w14:schemeClr w14:val="tx1"/>
            </w14:solidFill>
          </w14:textFill>
        </w:rPr>
        <w:t>保障改善民生</w:t>
      </w:r>
    </w:p>
    <w:p>
      <w:pPr>
        <w:widowControl w:val="0"/>
        <w:spacing w:line="580" w:lineRule="exact"/>
        <w:ind w:firstLine="640" w:firstLineChars="200"/>
        <w:jc w:val="both"/>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Cs/>
          <w:color w:val="000000" w:themeColor="text1"/>
          <w:kern w:val="2"/>
          <w:sz w:val="32"/>
          <w:szCs w:val="32"/>
          <w:highlight w:val="none"/>
          <w14:textFill>
            <w14:solidFill>
              <w14:schemeClr w14:val="tx1"/>
            </w14:solidFill>
          </w14:textFill>
        </w:rPr>
        <w:t>全区财政民生支出</w:t>
      </w:r>
      <w:r>
        <w:rPr>
          <w:rFonts w:hint="eastAsia" w:ascii="仿宋_GB2312" w:hAnsi="仿宋_GB2312" w:eastAsia="仿宋_GB2312" w:cs="仿宋_GB2312"/>
          <w:kern w:val="2"/>
          <w:sz w:val="32"/>
          <w:szCs w:val="32"/>
          <w:highlight w:val="none"/>
          <w:lang w:val="en-US" w:eastAsia="zh-CN"/>
        </w:rPr>
        <w:t>91612</w:t>
      </w:r>
      <w:r>
        <w:rPr>
          <w:rFonts w:hint="eastAsia" w:ascii="仿宋_GB2312" w:hAnsi="仿宋_GB2312" w:eastAsia="仿宋_GB2312" w:cs="仿宋_GB2312"/>
          <w:bCs/>
          <w:color w:val="000000" w:themeColor="text1"/>
          <w:kern w:val="2"/>
          <w:sz w:val="32"/>
          <w:szCs w:val="32"/>
          <w:highlight w:val="none"/>
          <w14:textFill>
            <w14:solidFill>
              <w14:schemeClr w14:val="tx1"/>
            </w14:solidFill>
          </w14:textFill>
        </w:rPr>
        <w:t>万元，占一般公共预算支出的6</w:t>
      </w: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3.3</w:t>
      </w:r>
      <w:r>
        <w:rPr>
          <w:rFonts w:hint="eastAsia" w:ascii="仿宋_GB2312" w:hAnsi="仿宋_GB2312" w:eastAsia="仿宋_GB2312" w:cs="仿宋_GB2312"/>
          <w:bCs/>
          <w:color w:val="000000" w:themeColor="text1"/>
          <w:kern w:val="2"/>
          <w:sz w:val="32"/>
          <w:szCs w:val="32"/>
          <w:highlight w:val="none"/>
          <w14:textFill>
            <w14:solidFill>
              <w14:schemeClr w14:val="tx1"/>
            </w14:solidFill>
          </w14:textFill>
        </w:rPr>
        <w:t>%。教育方面。安排经费保障机制资金345</w:t>
      </w: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6</w:t>
      </w:r>
      <w:r>
        <w:rPr>
          <w:rFonts w:hint="eastAsia" w:ascii="仿宋_GB2312" w:hAnsi="仿宋_GB2312" w:eastAsia="仿宋_GB2312" w:cs="仿宋_GB2312"/>
          <w:bCs/>
          <w:color w:val="000000" w:themeColor="text1"/>
          <w:kern w:val="2"/>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kern w:val="2"/>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kern w:val="2"/>
          <w:sz w:val="32"/>
          <w:szCs w:val="32"/>
          <w:highlight w:val="none"/>
          <w14:textFill>
            <w14:solidFill>
              <w14:schemeClr w14:val="tx1"/>
            </w14:solidFill>
          </w14:textFill>
        </w:rPr>
        <w:t>全力确保义务</w:t>
      </w: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教育</w:t>
      </w:r>
      <w:r>
        <w:rPr>
          <w:rFonts w:hint="eastAsia" w:ascii="仿宋_GB2312" w:hAnsi="仿宋_GB2312" w:eastAsia="仿宋_GB2312" w:cs="仿宋_GB2312"/>
          <w:bCs/>
          <w:color w:val="000000" w:themeColor="text1"/>
          <w:kern w:val="2"/>
          <w:sz w:val="32"/>
          <w:szCs w:val="32"/>
          <w:highlight w:val="none"/>
          <w14:textFill>
            <w14:solidFill>
              <w14:schemeClr w14:val="tx1"/>
            </w14:solidFill>
          </w14:textFill>
        </w:rPr>
        <w:t>阶段学生完成学业。其中“两免一补”资金2902万元，农村校舍维修改造资金55</w:t>
      </w: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Cs/>
          <w:color w:val="000000" w:themeColor="text1"/>
          <w:kern w:val="2"/>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kern w:val="2"/>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kern w:val="2"/>
          <w:sz w:val="32"/>
          <w:szCs w:val="32"/>
          <w:highlight w:val="none"/>
          <w14:textFill>
            <w14:solidFill>
              <w14:schemeClr w14:val="tx1"/>
            </w14:solidFill>
          </w14:textFill>
        </w:rPr>
        <w:t>安排29万元营养餐补助资金，用于建档立卡贫困户家庭学生营养改善。安排乡村教师补贴、班主任津贴、地方教龄津贴120</w:t>
      </w: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6</w:t>
      </w:r>
      <w:r>
        <w:rPr>
          <w:rFonts w:hint="eastAsia" w:ascii="仿宋_GB2312" w:hAnsi="仿宋_GB2312" w:eastAsia="仿宋_GB2312" w:cs="仿宋_GB2312"/>
          <w:bCs/>
          <w:color w:val="000000" w:themeColor="text1"/>
          <w:kern w:val="2"/>
          <w:sz w:val="32"/>
          <w:szCs w:val="32"/>
          <w:highlight w:val="none"/>
          <w14:textFill>
            <w14:solidFill>
              <w14:schemeClr w14:val="tx1"/>
            </w14:solidFill>
          </w14:textFill>
        </w:rPr>
        <w:t>万元，提高了全区教师教书育人的积极性。安排205万元用于教师培训，提升教师队伍教学质量。安排975万元用于薄弱学校改造，提高办学条件。安排38</w:t>
      </w: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kern w:val="2"/>
          <w:sz w:val="32"/>
          <w:szCs w:val="32"/>
          <w:highlight w:val="none"/>
          <w14:textFill>
            <w14:solidFill>
              <w14:schemeClr w14:val="tx1"/>
            </w14:solidFill>
          </w14:textFill>
        </w:rPr>
        <w:t>万元发展学前教育，促进了学前教育的发展。安排397万元用于规范民办教育，扩充公办义务教育资源，推动义务教育优质均衡发展。社会保障方面。安排11</w:t>
      </w: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kern w:val="2"/>
          <w:sz w:val="32"/>
          <w:szCs w:val="32"/>
          <w:highlight w:val="none"/>
          <w14:textFill>
            <w14:solidFill>
              <w14:schemeClr w14:val="tx1"/>
            </w14:solidFill>
          </w14:textFill>
        </w:rPr>
        <w:t>万元用于资助5006名困难群众参保，努力保障贫困人员病有所医。安排19</w:t>
      </w: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Cs/>
          <w:color w:val="000000" w:themeColor="text1"/>
          <w:kern w:val="2"/>
          <w:sz w:val="32"/>
          <w:szCs w:val="32"/>
          <w:highlight w:val="none"/>
          <w14:textFill>
            <w14:solidFill>
              <w14:schemeClr w14:val="tx1"/>
            </w14:solidFill>
          </w14:textFill>
        </w:rPr>
        <w:t>万元用于贫困户医疗救助，减轻了贫困户医疗负担。安排脱贫劳动力公益性岗位补贴200万元，用于全区3042人次就业补贴。医疗卫生方面。安排251</w:t>
      </w: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7</w:t>
      </w:r>
      <w:r>
        <w:rPr>
          <w:rFonts w:hint="eastAsia" w:ascii="仿宋_GB2312" w:hAnsi="仿宋_GB2312" w:eastAsia="仿宋_GB2312" w:cs="仿宋_GB2312"/>
          <w:bCs/>
          <w:color w:val="000000" w:themeColor="text1"/>
          <w:kern w:val="2"/>
          <w:sz w:val="32"/>
          <w:szCs w:val="32"/>
          <w:highlight w:val="none"/>
          <w14:textFill>
            <w14:solidFill>
              <w14:schemeClr w14:val="tx1"/>
            </w14:solidFill>
          </w14:textFill>
        </w:rPr>
        <w:t>万元用于全区基本公共卫生服务体系建设，基本公共卫生服务基本实现了服务均等化。安排28</w:t>
      </w: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kern w:val="2"/>
          <w:sz w:val="32"/>
          <w:szCs w:val="32"/>
          <w:highlight w:val="none"/>
          <w14:textFill>
            <w14:solidFill>
              <w14:schemeClr w14:val="tx1"/>
            </w14:solidFill>
          </w14:textFill>
        </w:rPr>
        <w:t>万元用于基本药物补助，降低了老百姓看病费用。基层能力提升30万，提升了基层服务能力。安排342万用于老龄化工程和托育建设，安排63万元用于特殊家庭住院护理补贴。安排4734万元用于新冠肺炎疫情防控，为我区疫情防控工作提供了资金保障。</w:t>
      </w:r>
    </w:p>
    <w:p>
      <w:pPr>
        <w:widowControl w:val="0"/>
        <w:spacing w:line="580" w:lineRule="exact"/>
        <w:ind w:firstLine="640" w:firstLineChars="200"/>
        <w:jc w:val="both"/>
        <w:rPr>
          <w:rFonts w:ascii="黑体" w:hAnsi="黑体" w:eastAsia="黑体" w:cs="黑体"/>
          <w:bCs/>
          <w:color w:val="000000" w:themeColor="text1"/>
          <w:kern w:val="2"/>
          <w:sz w:val="32"/>
          <w:szCs w:val="32"/>
          <w:highlight w:val="none"/>
          <w14:textFill>
            <w14:solidFill>
              <w14:schemeClr w14:val="tx1"/>
            </w14:solidFill>
          </w14:textFill>
        </w:rPr>
      </w:pPr>
      <w:r>
        <w:rPr>
          <w:rFonts w:hint="eastAsia" w:ascii="黑体" w:hAnsi="黑体" w:eastAsia="黑体" w:cs="黑体"/>
          <w:bCs/>
          <w:color w:val="000000" w:themeColor="text1"/>
          <w:kern w:val="2"/>
          <w:sz w:val="32"/>
          <w:szCs w:val="32"/>
          <w:highlight w:val="none"/>
          <w14:textFill>
            <w14:solidFill>
              <w14:schemeClr w14:val="tx1"/>
            </w14:solidFill>
          </w14:textFill>
        </w:rPr>
        <w:t>三、202</w:t>
      </w:r>
      <w:r>
        <w:rPr>
          <w:rFonts w:hint="eastAsia" w:ascii="黑体" w:hAnsi="黑体" w:eastAsia="黑体" w:cs="黑体"/>
          <w:bCs/>
          <w:color w:val="000000" w:themeColor="text1"/>
          <w:kern w:val="2"/>
          <w:sz w:val="32"/>
          <w:szCs w:val="32"/>
          <w:highlight w:val="none"/>
          <w:lang w:val="en-US" w:eastAsia="zh-CN"/>
          <w14:textFill>
            <w14:solidFill>
              <w14:schemeClr w14:val="tx1"/>
            </w14:solidFill>
          </w14:textFill>
        </w:rPr>
        <w:t>3</w:t>
      </w:r>
      <w:r>
        <w:rPr>
          <w:rFonts w:hint="eastAsia" w:ascii="黑体" w:hAnsi="黑体" w:eastAsia="黑体" w:cs="黑体"/>
          <w:bCs/>
          <w:color w:val="000000" w:themeColor="text1"/>
          <w:kern w:val="2"/>
          <w:sz w:val="32"/>
          <w:szCs w:val="32"/>
          <w:highlight w:val="none"/>
          <w14:textFill>
            <w14:solidFill>
              <w14:schemeClr w14:val="tx1"/>
            </w14:solidFill>
          </w14:textFill>
        </w:rPr>
        <w:t>年财政预算（草案）安排</w:t>
      </w:r>
    </w:p>
    <w:p>
      <w:pPr>
        <w:widowControl w:val="0"/>
        <w:spacing w:line="580" w:lineRule="exact"/>
        <w:ind w:firstLine="640" w:firstLineChars="200"/>
        <w:jc w:val="both"/>
        <w:rPr>
          <w:rFonts w:hint="default" w:ascii="仿宋_GB2312" w:hAnsi="Times New Roman" w:eastAsia="仿宋_GB2312" w:cs="Times New Roman"/>
          <w:b/>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年财政工作的指导思想：</w:t>
      </w:r>
      <w:r>
        <w:rPr>
          <w:rFonts w:hint="eastAsia" w:ascii="仿宋_GB2312" w:hAnsi="Times New Roman" w:eastAsia="仿宋_GB2312" w:cs="Times New Roman"/>
          <w:b/>
          <w:bCs/>
          <w:color w:val="000000" w:themeColor="text1"/>
          <w:kern w:val="2"/>
          <w:sz w:val="32"/>
          <w:szCs w:val="32"/>
          <w:highlight w:val="none"/>
          <w14:textFill>
            <w14:solidFill>
              <w14:schemeClr w14:val="tx1"/>
            </w14:solidFill>
          </w14:textFill>
        </w:rPr>
        <w:t>以习近平新时代中国特色社会主义思想为指导,</w:t>
      </w:r>
      <w:r>
        <w:rPr>
          <w:rFonts w:hint="eastAsia" w:ascii="仿宋_GB2312" w:hAnsi="Times New Roman" w:eastAsia="仿宋_GB2312" w:cs="Times New Roman"/>
          <w:b/>
          <w:bCs/>
          <w:color w:val="000000" w:themeColor="text1"/>
          <w:kern w:val="2"/>
          <w:sz w:val="32"/>
          <w:szCs w:val="32"/>
          <w:highlight w:val="none"/>
          <w:lang w:val="en-US" w:eastAsia="zh-CN"/>
          <w14:textFill>
            <w14:solidFill>
              <w14:schemeClr w14:val="tx1"/>
            </w14:solidFill>
          </w14:textFill>
        </w:rPr>
        <w:t>深入学习习近平关于财政工作的重要讲话，全面贯彻党的二十大精神和习近平总书记视察安阳重要讲话精神，立足新发展阶段，贯彻新发展理念，服务和融入新发展格局，以推动高质量发展为主题，以深化供给侧结构性改革为主线，以改革创新为根本动力，促进经济社会持续健康发展；以提高经济发展质量和效益为中心，努力培植财源，强化收入征管；持续深化财政改革，加强财政资源统筹，完善预算管理制度；既尽力而为，又量力而行，持续保障和改善民生，不断满足人民日益增长的美好生活需要；牢固树立过紧日子思想，优化支出结构，严控一般性支出，加大对重点领域和项目支持力度；坚持疏堵并举，加强地方政府债务管理，积极防范化解债务风险；继续深化国资国企改革，加强国有资产管理，提升国资监管水平。</w:t>
      </w:r>
    </w:p>
    <w:p>
      <w:pPr>
        <w:widowControl w:val="0"/>
        <w:spacing w:line="580" w:lineRule="exact"/>
        <w:ind w:firstLine="640" w:firstLineChars="200"/>
        <w:jc w:val="both"/>
        <w:rPr>
          <w:rFonts w:ascii="仿宋" w:hAnsi="仿宋" w:eastAsia="仿宋_GB2312" w:cs="仿宋_GB2312"/>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根据上述指导思想，综合考虑我区主要经济预期指标和财政收支增减因素，202</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年全区财政收支预算拟安排如下：</w:t>
      </w:r>
    </w:p>
    <w:p>
      <w:pPr>
        <w:widowControl w:val="0"/>
        <w:spacing w:line="580" w:lineRule="exact"/>
        <w:ind w:firstLine="640" w:firstLineChars="200"/>
        <w:jc w:val="both"/>
        <w:rPr>
          <w:rFonts w:ascii="楷体_GB2312" w:hAnsi="仿宋_GB2312" w:eastAsia="楷体_GB2312" w:cs="仿宋_GB2312"/>
          <w:color w:val="000000" w:themeColor="text1"/>
          <w:kern w:val="2"/>
          <w:sz w:val="32"/>
          <w:szCs w:val="32"/>
          <w:highlight w:val="none"/>
          <w14:textFill>
            <w14:solidFill>
              <w14:schemeClr w14:val="tx1"/>
            </w14:solidFill>
          </w14:textFill>
        </w:rPr>
      </w:pPr>
      <w:r>
        <w:rPr>
          <w:rFonts w:hint="eastAsia" w:ascii="楷体_GB2312" w:hAnsi="仿宋_GB2312" w:eastAsia="楷体_GB2312" w:cs="仿宋_GB2312"/>
          <w:color w:val="000000" w:themeColor="text1"/>
          <w:kern w:val="2"/>
          <w:sz w:val="32"/>
          <w:szCs w:val="32"/>
          <w:highlight w:val="none"/>
          <w14:textFill>
            <w14:solidFill>
              <w14:schemeClr w14:val="tx1"/>
            </w14:solidFill>
          </w14:textFill>
        </w:rPr>
        <w:t>（一）一般公共预算拟安排情况</w:t>
      </w:r>
    </w:p>
    <w:p>
      <w:pPr>
        <w:widowControl w:val="0"/>
        <w:spacing w:line="580" w:lineRule="exact"/>
        <w:ind w:firstLine="642" w:firstLineChars="200"/>
        <w:jc w:val="both"/>
        <w:rPr>
          <w:rFonts w:ascii="仿宋_GB2312" w:hAnsi="仿宋_GB2312" w:eastAsia="仿宋_GB2312" w:cs="仿宋_GB2312"/>
          <w:b/>
          <w:bCs/>
          <w:color w:val="000000" w:themeColor="text1"/>
          <w:kern w:val="10"/>
          <w:sz w:val="32"/>
          <w:szCs w:val="32"/>
          <w:highlight w:val="none"/>
          <w:u w:val="single"/>
          <w14:textFill>
            <w14:solidFill>
              <w14:schemeClr w14:val="tx1"/>
            </w14:solidFill>
          </w14:textFill>
        </w:rPr>
      </w:pPr>
      <w:r>
        <w:rPr>
          <w:rFonts w:hint="eastAsia" w:ascii="仿宋_GB2312" w:hAnsi="仿宋_GB2312" w:eastAsia="仿宋_GB2312" w:cs="仿宋_GB2312"/>
          <w:b/>
          <w:bCs/>
          <w:color w:val="000000" w:themeColor="text1"/>
          <w:kern w:val="10"/>
          <w:sz w:val="32"/>
          <w:szCs w:val="32"/>
          <w:highlight w:val="none"/>
          <w14:textFill>
            <w14:solidFill>
              <w14:schemeClr w14:val="tx1"/>
            </w14:solidFill>
          </w14:textFill>
        </w:rPr>
        <w:t>1、一般公共预算收入拟安排情况</w:t>
      </w:r>
    </w:p>
    <w:p>
      <w:pPr>
        <w:widowControl w:val="0"/>
        <w:spacing w:line="580" w:lineRule="exact"/>
        <w:ind w:firstLine="640" w:firstLineChars="200"/>
        <w:jc w:val="both"/>
        <w:rPr>
          <w:rFonts w:hint="eastAsia" w:ascii="仿宋_GB2312" w:hAnsi="仿宋_GB2312" w:eastAsia="仿宋_GB2312" w:cs="仿宋_GB2312"/>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2023年全区一般公共预算收入拟安排128000万元，较上年完成数增长10.5%。其中：税收收入96000万元，非税收入32000万元。</w:t>
      </w:r>
    </w:p>
    <w:p>
      <w:pPr>
        <w:widowControl w:val="0"/>
        <w:spacing w:line="580" w:lineRule="exact"/>
        <w:ind w:firstLine="642" w:firstLineChars="200"/>
        <w:jc w:val="both"/>
        <w:rPr>
          <w:rFonts w:ascii="仿宋_GB2312" w:hAnsi="仿宋_GB2312" w:eastAsia="仿宋_GB2312" w:cs="仿宋_GB2312"/>
          <w:b/>
          <w:bCs/>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10"/>
          <w:sz w:val="32"/>
          <w:szCs w:val="32"/>
          <w:highlight w:val="none"/>
          <w14:textFill>
            <w14:solidFill>
              <w14:schemeClr w14:val="tx1"/>
            </w14:solidFill>
          </w14:textFill>
        </w:rPr>
        <w:t>2、一般公共预算支出拟安排情况</w:t>
      </w:r>
    </w:p>
    <w:p>
      <w:pPr>
        <w:widowControl w:val="0"/>
        <w:spacing w:line="580" w:lineRule="exact"/>
        <w:ind w:firstLine="640" w:firstLineChars="200"/>
        <w:jc w:val="both"/>
        <w:rPr>
          <w:rFonts w:hint="eastAsia" w:ascii="仿宋_GB2312" w:hAnsi="仿宋_GB2312" w:eastAsia="仿宋_GB2312" w:cs="仿宋_GB2312"/>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2023年全区一般公共预算支出拟安排213455万元，较上年预算数增长5.5%。</w:t>
      </w:r>
    </w:p>
    <w:p>
      <w:pPr>
        <w:widowControl w:val="0"/>
        <w:spacing w:line="580" w:lineRule="exact"/>
        <w:ind w:firstLine="640" w:firstLineChars="200"/>
        <w:jc w:val="both"/>
        <w:rPr>
          <w:rFonts w:ascii="楷体_GB2312" w:hAnsi="仿宋_GB2312" w:eastAsia="楷体_GB2312" w:cs="仿宋_GB2312"/>
          <w:color w:val="000000" w:themeColor="text1"/>
          <w:kern w:val="2"/>
          <w:sz w:val="32"/>
          <w:szCs w:val="32"/>
          <w:highlight w:val="none"/>
          <w14:textFill>
            <w14:solidFill>
              <w14:schemeClr w14:val="tx1"/>
            </w14:solidFill>
          </w14:textFill>
        </w:rPr>
      </w:pPr>
      <w:r>
        <w:rPr>
          <w:rFonts w:hint="eastAsia" w:ascii="楷体_GB2312" w:hAnsi="仿宋_GB2312" w:eastAsia="楷体_GB2312" w:cs="仿宋_GB2312"/>
          <w:color w:val="000000" w:themeColor="text1"/>
          <w:kern w:val="2"/>
          <w:sz w:val="32"/>
          <w:szCs w:val="32"/>
          <w:highlight w:val="none"/>
          <w14:textFill>
            <w14:solidFill>
              <w14:schemeClr w14:val="tx1"/>
            </w14:solidFill>
          </w14:textFill>
        </w:rPr>
        <w:t>（二）政府性基金预算拟安排情况</w:t>
      </w:r>
    </w:p>
    <w:p>
      <w:pPr>
        <w:widowControl w:val="0"/>
        <w:spacing w:line="580" w:lineRule="exact"/>
        <w:ind w:firstLine="640" w:firstLineChars="200"/>
        <w:jc w:val="both"/>
        <w:rPr>
          <w:rFonts w:ascii="仿宋_GB2312" w:hAnsi="仿宋_GB2312" w:eastAsia="仿宋_GB2312" w:cs="仿宋_GB2312"/>
          <w:bCs/>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bCs/>
          <w:color w:val="000000" w:themeColor="text1"/>
          <w:kern w:val="10"/>
          <w:sz w:val="32"/>
          <w:szCs w:val="32"/>
          <w:highlight w:val="none"/>
          <w14:textFill>
            <w14:solidFill>
              <w14:schemeClr w14:val="tx1"/>
            </w14:solidFill>
          </w14:textFill>
        </w:rPr>
        <w:t>2023年全区政府性基金预算收入拟安排100000万元，较上年</w:t>
      </w:r>
      <w:r>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t>完成</w:t>
      </w:r>
      <w:r>
        <w:rPr>
          <w:rFonts w:hint="eastAsia" w:ascii="仿宋_GB2312" w:hAnsi="仿宋_GB2312" w:eastAsia="仿宋_GB2312" w:cs="仿宋_GB2312"/>
          <w:bCs/>
          <w:color w:val="000000" w:themeColor="text1"/>
          <w:kern w:val="10"/>
          <w:sz w:val="32"/>
          <w:szCs w:val="32"/>
          <w:highlight w:val="none"/>
          <w14:textFill>
            <w14:solidFill>
              <w14:schemeClr w14:val="tx1"/>
            </w14:solidFill>
          </w14:textFill>
        </w:rPr>
        <w:t>数增长357.6%。2023年政府性基金预算支出拟安排228369万元，较上年预算数增长140.</w:t>
      </w:r>
      <w:r>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kern w:val="10"/>
          <w:sz w:val="32"/>
          <w:szCs w:val="32"/>
          <w:highlight w:val="none"/>
          <w14:textFill>
            <w14:solidFill>
              <w14:schemeClr w14:val="tx1"/>
            </w14:solidFill>
          </w14:textFill>
        </w:rPr>
        <w:t>%。</w:t>
      </w:r>
    </w:p>
    <w:p>
      <w:pPr>
        <w:widowControl w:val="0"/>
        <w:spacing w:line="580" w:lineRule="exact"/>
        <w:ind w:firstLine="640" w:firstLineChars="200"/>
        <w:jc w:val="both"/>
        <w:rPr>
          <w:rFonts w:ascii="楷体_GB2312" w:hAnsi="仿宋_GB2312" w:eastAsia="楷体_GB2312" w:cs="仿宋_GB2312"/>
          <w:color w:val="000000" w:themeColor="text1"/>
          <w:kern w:val="2"/>
          <w:sz w:val="32"/>
          <w:szCs w:val="32"/>
          <w:highlight w:val="none"/>
          <w14:textFill>
            <w14:solidFill>
              <w14:schemeClr w14:val="tx1"/>
            </w14:solidFill>
          </w14:textFill>
        </w:rPr>
      </w:pPr>
      <w:r>
        <w:rPr>
          <w:rFonts w:hint="eastAsia" w:ascii="楷体_GB2312" w:hAnsi="仿宋_GB2312" w:eastAsia="楷体_GB2312" w:cs="仿宋_GB2312"/>
          <w:color w:val="000000" w:themeColor="text1"/>
          <w:kern w:val="2"/>
          <w:sz w:val="32"/>
          <w:szCs w:val="32"/>
          <w:highlight w:val="none"/>
          <w14:textFill>
            <w14:solidFill>
              <w14:schemeClr w14:val="tx1"/>
            </w14:solidFill>
          </w14:textFill>
        </w:rPr>
        <w:t>（三）社会保险基金预算拟安排情况</w:t>
      </w:r>
    </w:p>
    <w:p>
      <w:pPr>
        <w:widowControl w:val="0"/>
        <w:spacing w:line="580" w:lineRule="exact"/>
        <w:ind w:firstLine="640" w:firstLineChars="200"/>
        <w:jc w:val="both"/>
        <w:rPr>
          <w:rFonts w:hint="eastAsia" w:ascii="仿宋_GB2312" w:hAnsi="仿宋_GB2312" w:eastAsia="仿宋_GB2312" w:cs="仿宋_GB2312"/>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2023年城乡居民养老保险预算收入拟安排8084万元，社保基金预算支出拟安排6044万元，当年社保基金预算结余2040万元。</w:t>
      </w:r>
    </w:p>
    <w:p>
      <w:pPr>
        <w:widowControl w:val="0"/>
        <w:spacing w:line="580" w:lineRule="exact"/>
        <w:ind w:firstLine="640" w:firstLineChars="200"/>
        <w:jc w:val="both"/>
        <w:rPr>
          <w:rFonts w:ascii="楷体_GB2312" w:hAnsi="仿宋_GB2312" w:eastAsia="楷体_GB2312" w:cs="仿宋_GB2312"/>
          <w:color w:val="000000" w:themeColor="text1"/>
          <w:kern w:val="2"/>
          <w:sz w:val="32"/>
          <w:szCs w:val="32"/>
          <w:highlight w:val="none"/>
          <w14:textFill>
            <w14:solidFill>
              <w14:schemeClr w14:val="tx1"/>
            </w14:solidFill>
          </w14:textFill>
        </w:rPr>
      </w:pPr>
      <w:r>
        <w:rPr>
          <w:rFonts w:hint="eastAsia" w:ascii="楷体_GB2312" w:hAnsi="仿宋_GB2312" w:eastAsia="楷体_GB2312" w:cs="仿宋_GB2312"/>
          <w:color w:val="000000" w:themeColor="text1"/>
          <w:kern w:val="2"/>
          <w:sz w:val="32"/>
          <w:szCs w:val="32"/>
          <w:highlight w:val="none"/>
          <w14:textFill>
            <w14:solidFill>
              <w14:schemeClr w14:val="tx1"/>
            </w14:solidFill>
          </w14:textFill>
        </w:rPr>
        <w:t>（四）预算草案批准前已支出情况</w:t>
      </w:r>
    </w:p>
    <w:p>
      <w:pPr>
        <w:widowControl w:val="0"/>
        <w:spacing w:line="580" w:lineRule="exact"/>
        <w:ind w:firstLine="640" w:firstLineChars="200"/>
        <w:jc w:val="both"/>
        <w:rPr>
          <w:rFonts w:ascii="仿宋_GB2312" w:hAnsi="仿宋_GB2312" w:eastAsia="仿宋_GB2312" w:cs="仿宋_GB2312"/>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color w:val="auto"/>
          <w:kern w:val="10"/>
          <w:sz w:val="32"/>
          <w:szCs w:val="32"/>
          <w:highlight w:val="none"/>
        </w:rPr>
        <w:t>按照预算法要求，今年已支出</w:t>
      </w:r>
      <w:r>
        <w:rPr>
          <w:rFonts w:hint="eastAsia" w:ascii="仿宋_GB2312" w:hAnsi="仿宋_GB2312" w:eastAsia="仿宋_GB2312" w:cs="仿宋_GB2312"/>
          <w:color w:val="auto"/>
          <w:kern w:val="10"/>
          <w:sz w:val="32"/>
          <w:szCs w:val="32"/>
          <w:highlight w:val="none"/>
          <w:lang w:val="en-US" w:eastAsia="zh-CN"/>
        </w:rPr>
        <w:t>67018</w:t>
      </w:r>
      <w:r>
        <w:rPr>
          <w:rFonts w:hint="eastAsia" w:ascii="仿宋_GB2312" w:hAnsi="仿宋_GB2312" w:eastAsia="仿宋_GB2312" w:cs="仿宋_GB2312"/>
          <w:color w:val="auto"/>
          <w:kern w:val="10"/>
          <w:sz w:val="32"/>
          <w:szCs w:val="32"/>
          <w:highlight w:val="none"/>
        </w:rPr>
        <w:t>万元，区级资金主要用于“三保”支出和其他应急性、重点领域项目支出</w:t>
      </w:r>
      <w:r>
        <w:rPr>
          <w:rFonts w:hint="eastAsia" w:ascii="仿宋_GB2312" w:hAnsi="仿宋_GB2312" w:eastAsia="仿宋_GB2312" w:cs="仿宋_GB2312"/>
          <w:color w:val="auto"/>
          <w:kern w:val="10"/>
          <w:sz w:val="32"/>
          <w:szCs w:val="32"/>
          <w:highlight w:val="none"/>
          <w:lang w:val="en-US" w:eastAsia="zh-CN"/>
        </w:rPr>
        <w:t>、债券项目支出</w:t>
      </w:r>
      <w:r>
        <w:rPr>
          <w:rFonts w:hint="eastAsia" w:ascii="仿宋_GB2312" w:hAnsi="仿宋_GB2312" w:eastAsia="仿宋_GB2312" w:cs="仿宋_GB2312"/>
          <w:color w:val="auto"/>
          <w:kern w:val="10"/>
          <w:sz w:val="32"/>
          <w:szCs w:val="32"/>
          <w:highlight w:val="none"/>
        </w:rPr>
        <w:t>等。</w:t>
      </w:r>
    </w:p>
    <w:p>
      <w:pPr>
        <w:widowControl w:val="0"/>
        <w:spacing w:line="580" w:lineRule="exact"/>
        <w:ind w:firstLine="640" w:firstLineChars="200"/>
        <w:jc w:val="both"/>
        <w:rPr>
          <w:rFonts w:ascii="黑体" w:hAnsi="黑体" w:eastAsia="黑体" w:cs="黑体"/>
          <w:color w:val="000000" w:themeColor="text1"/>
          <w:kern w:val="10"/>
          <w:sz w:val="32"/>
          <w:szCs w:val="32"/>
          <w:highlight w:val="none"/>
          <w14:textFill>
            <w14:solidFill>
              <w14:schemeClr w14:val="tx1"/>
            </w14:solidFill>
          </w14:textFill>
        </w:rPr>
      </w:pPr>
      <w:r>
        <w:rPr>
          <w:rFonts w:hint="eastAsia" w:ascii="黑体" w:hAnsi="黑体" w:eastAsia="黑体" w:cs="黑体"/>
          <w:color w:val="000000" w:themeColor="text1"/>
          <w:kern w:val="10"/>
          <w:sz w:val="32"/>
          <w:szCs w:val="32"/>
          <w:highlight w:val="none"/>
          <w14:textFill>
            <w14:solidFill>
              <w14:schemeClr w14:val="tx1"/>
            </w14:solidFill>
          </w14:textFill>
        </w:rPr>
        <w:t>四、202</w:t>
      </w:r>
      <w:r>
        <w:rPr>
          <w:rFonts w:hint="eastAsia" w:ascii="黑体" w:hAnsi="黑体" w:eastAsia="黑体" w:cs="黑体"/>
          <w:color w:val="000000" w:themeColor="text1"/>
          <w:kern w:val="10"/>
          <w:sz w:val="32"/>
          <w:szCs w:val="32"/>
          <w:highlight w:val="none"/>
          <w:lang w:val="en-US" w:eastAsia="zh-CN"/>
          <w14:textFill>
            <w14:solidFill>
              <w14:schemeClr w14:val="tx1"/>
            </w14:solidFill>
          </w14:textFill>
        </w:rPr>
        <w:t>3</w:t>
      </w:r>
      <w:r>
        <w:rPr>
          <w:rFonts w:hint="eastAsia" w:ascii="黑体" w:hAnsi="黑体" w:eastAsia="黑体" w:cs="黑体"/>
          <w:color w:val="000000" w:themeColor="text1"/>
          <w:kern w:val="10"/>
          <w:sz w:val="32"/>
          <w:szCs w:val="32"/>
          <w:highlight w:val="none"/>
          <w14:textFill>
            <w14:solidFill>
              <w14:schemeClr w14:val="tx1"/>
            </w14:solidFill>
          </w14:textFill>
        </w:rPr>
        <w:t>年主要财政工作</w:t>
      </w:r>
    </w:p>
    <w:p>
      <w:pPr>
        <w:widowControl w:val="0"/>
        <w:spacing w:line="580" w:lineRule="exact"/>
        <w:ind w:firstLine="640" w:firstLineChars="200"/>
        <w:jc w:val="both"/>
        <w:rPr>
          <w:rFonts w:hint="default" w:ascii="楷体_GB2312" w:hAnsi="仿宋_GB2312" w:eastAsia="楷体_GB2312" w:cs="仿宋_GB2312"/>
          <w:color w:val="000000" w:themeColor="text1"/>
          <w:kern w:val="2"/>
          <w:sz w:val="32"/>
          <w:szCs w:val="32"/>
          <w:highlight w:val="none"/>
          <w:lang w:val="en-US" w:eastAsia="zh-CN"/>
          <w14:textFill>
            <w14:solidFill>
              <w14:schemeClr w14:val="tx1"/>
            </w14:solidFill>
          </w14:textFill>
        </w:rPr>
      </w:pPr>
      <w:r>
        <w:rPr>
          <w:rFonts w:hint="eastAsia" w:ascii="楷体_GB2312" w:hAnsi="仿宋_GB2312" w:eastAsia="楷体_GB2312" w:cs="仿宋_GB2312"/>
          <w:color w:val="000000" w:themeColor="text1"/>
          <w:kern w:val="2"/>
          <w:sz w:val="32"/>
          <w:szCs w:val="32"/>
          <w:highlight w:val="none"/>
          <w14:textFill>
            <w14:solidFill>
              <w14:schemeClr w14:val="tx1"/>
            </w14:solidFill>
          </w14:textFill>
        </w:rPr>
        <w:t>（一）</w:t>
      </w:r>
      <w:r>
        <w:rPr>
          <w:rFonts w:hint="eastAsia" w:ascii="楷体_GB2312" w:hAnsi="仿宋_GB2312" w:eastAsia="楷体_GB2312" w:cs="仿宋_GB2312"/>
          <w:color w:val="000000" w:themeColor="text1"/>
          <w:kern w:val="2"/>
          <w:sz w:val="32"/>
          <w:szCs w:val="32"/>
          <w:highlight w:val="none"/>
          <w:lang w:val="en-US" w:eastAsia="zh-CN"/>
          <w14:textFill>
            <w14:solidFill>
              <w14:schemeClr w14:val="tx1"/>
            </w14:solidFill>
          </w14:textFill>
        </w:rPr>
        <w:t>稳中求进加强财政收入管理</w:t>
      </w:r>
    </w:p>
    <w:p>
      <w:pPr>
        <w:widowControl w:val="0"/>
        <w:spacing w:line="580" w:lineRule="exact"/>
        <w:ind w:firstLine="642" w:firstLineChars="200"/>
        <w:jc w:val="both"/>
        <w:rPr>
          <w:rFonts w:hint="default"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kern w:val="2"/>
          <w:sz w:val="32"/>
          <w:szCs w:val="32"/>
          <w:highlight w:val="none"/>
          <w:lang w:val="en-US" w:eastAsia="zh-CN"/>
          <w14:textFill>
            <w14:solidFill>
              <w14:schemeClr w14:val="tx1"/>
            </w14:solidFill>
          </w14:textFill>
        </w:rPr>
        <w:t>抓实收入管理</w:t>
      </w:r>
      <w:r>
        <w:rPr>
          <w:rFonts w:hint="eastAsia" w:ascii="仿宋_GB2312" w:hAnsi="仿宋_GB2312" w:eastAsia="仿宋_GB2312" w:cs="仿宋_GB2312"/>
          <w:b/>
          <w:bCs/>
          <w:color w:val="000000" w:themeColor="text1"/>
          <w:kern w:val="2"/>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牢固树立全区组织收入一盘棋的理念，坚持月保季、季保半年、半年保全年的组织收入思路，将年度目标细化到乡镇街道、具体部门、具体月份，均衡化解收入压力，努力实现2023年全区一般公共预算收入目标。</w:t>
      </w:r>
      <w:r>
        <w:rPr>
          <w:rFonts w:hint="eastAsia" w:ascii="仿宋_GB2312" w:hAnsi="仿宋_GB2312" w:eastAsia="仿宋_GB2312" w:cs="仿宋_GB2312"/>
          <w:b/>
          <w:bCs/>
          <w:color w:val="000000" w:themeColor="text1"/>
          <w:kern w:val="2"/>
          <w:sz w:val="32"/>
          <w:szCs w:val="32"/>
          <w:highlight w:val="none"/>
          <w:lang w:val="en-US" w:eastAsia="zh-CN"/>
          <w14:textFill>
            <w14:solidFill>
              <w14:schemeClr w14:val="tx1"/>
            </w14:solidFill>
          </w14:textFill>
        </w:rPr>
        <w:t>强化部门间协调配合。</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切实履行财政工作职责，加强和税务部门对接，发挥税务征管主渠道作用，优化税收结构，提高全区收入质量，与发改委、自然资源局、住建局等职能部门密切配合，加强房地产、建筑业税收管理、积极培育本地企业税源。</w:t>
      </w:r>
      <w:r>
        <w:rPr>
          <w:rFonts w:hint="eastAsia" w:ascii="仿宋_GB2312" w:hAnsi="仿宋_GB2312" w:eastAsia="仿宋_GB2312" w:cs="仿宋_GB2312"/>
          <w:b/>
          <w:bCs/>
          <w:color w:val="000000" w:themeColor="text1"/>
          <w:kern w:val="2"/>
          <w:sz w:val="32"/>
          <w:szCs w:val="32"/>
          <w:highlight w:val="none"/>
          <w:lang w:val="en-US" w:eastAsia="zh-CN"/>
          <w14:textFill>
            <w14:solidFill>
              <w14:schemeClr w14:val="tx1"/>
            </w14:solidFill>
          </w14:textFill>
        </w:rPr>
        <w:t>依法征缴管理政府</w:t>
      </w:r>
      <w:r>
        <w:rPr>
          <w:rFonts w:hint="eastAsia" w:ascii="仿宋_GB2312" w:hAnsi="Times New Roman" w:eastAsia="仿宋_GB2312" w:cs="Times New Roman"/>
          <w:b/>
          <w:bCs/>
          <w:color w:val="000000" w:themeColor="text1"/>
          <w:kern w:val="2"/>
          <w:sz w:val="32"/>
          <w:szCs w:val="32"/>
          <w:highlight w:val="none"/>
          <w14:textFill>
            <w14:solidFill>
              <w14:schemeClr w14:val="tx1"/>
            </w14:solidFill>
          </w14:textFill>
        </w:rPr>
        <w:t>非税收入。</w:t>
      </w:r>
      <w:r>
        <w:rPr>
          <w:rFonts w:hint="eastAsia" w:ascii="仿宋_GB2312" w:hAnsi="Times New Roman" w:eastAsia="仿宋_GB2312" w:cs="Times New Roman"/>
          <w:bCs/>
          <w:color w:val="000000" w:themeColor="text1"/>
          <w:kern w:val="2"/>
          <w:sz w:val="32"/>
          <w:szCs w:val="32"/>
          <w:highlight w:val="none"/>
          <w:lang w:val="en-US" w:eastAsia="zh-CN"/>
          <w14:textFill>
            <w14:solidFill>
              <w14:schemeClr w14:val="tx1"/>
            </w14:solidFill>
          </w14:textFill>
        </w:rPr>
        <w:t>依法依规加强征管，做到应收尽收，认真贯彻落实国家和省市各项政策，严把涉企收费关，切实提升征管水平和能力。</w:t>
      </w:r>
    </w:p>
    <w:p>
      <w:pPr>
        <w:widowControl w:val="0"/>
        <w:spacing w:line="580" w:lineRule="exact"/>
        <w:ind w:firstLine="640" w:firstLineChars="200"/>
        <w:jc w:val="both"/>
        <w:rPr>
          <w:rFonts w:hint="default" w:ascii="楷体_GB2312" w:hAnsi="仿宋_GB2312" w:eastAsia="楷体_GB2312" w:cs="仿宋_GB2312"/>
          <w:color w:val="000000" w:themeColor="text1"/>
          <w:kern w:val="2"/>
          <w:sz w:val="32"/>
          <w:szCs w:val="32"/>
          <w:highlight w:val="none"/>
          <w:lang w:val="en-US" w:eastAsia="zh-CN"/>
          <w14:textFill>
            <w14:solidFill>
              <w14:schemeClr w14:val="tx1"/>
            </w14:solidFill>
          </w14:textFill>
        </w:rPr>
      </w:pPr>
      <w:r>
        <w:rPr>
          <w:rFonts w:hint="eastAsia" w:ascii="楷体_GB2312" w:hAnsi="仿宋_GB2312" w:eastAsia="楷体_GB2312" w:cs="仿宋_GB2312"/>
          <w:color w:val="000000" w:themeColor="text1"/>
          <w:kern w:val="2"/>
          <w:sz w:val="32"/>
          <w:szCs w:val="32"/>
          <w:highlight w:val="none"/>
          <w14:textFill>
            <w14:solidFill>
              <w14:schemeClr w14:val="tx1"/>
            </w14:solidFill>
          </w14:textFill>
        </w:rPr>
        <w:t>（</w:t>
      </w:r>
      <w:r>
        <w:rPr>
          <w:rFonts w:hint="eastAsia" w:ascii="楷体_GB2312" w:hAnsi="仿宋_GB2312" w:eastAsia="楷体_GB2312" w:cs="仿宋_GB2312"/>
          <w:color w:val="000000" w:themeColor="text1"/>
          <w:kern w:val="2"/>
          <w:sz w:val="32"/>
          <w:szCs w:val="32"/>
          <w:highlight w:val="none"/>
          <w:lang w:val="en-US" w:eastAsia="zh-CN"/>
          <w14:textFill>
            <w14:solidFill>
              <w14:schemeClr w14:val="tx1"/>
            </w14:solidFill>
          </w14:textFill>
        </w:rPr>
        <w:t>二</w:t>
      </w:r>
      <w:r>
        <w:rPr>
          <w:rFonts w:hint="eastAsia" w:ascii="楷体_GB2312" w:hAnsi="仿宋_GB2312" w:eastAsia="楷体_GB2312" w:cs="仿宋_GB2312"/>
          <w:color w:val="000000" w:themeColor="text1"/>
          <w:kern w:val="2"/>
          <w:sz w:val="32"/>
          <w:szCs w:val="32"/>
          <w:highlight w:val="none"/>
          <w14:textFill>
            <w14:solidFill>
              <w14:schemeClr w14:val="tx1"/>
            </w14:solidFill>
          </w14:textFill>
        </w:rPr>
        <w:t>）</w:t>
      </w:r>
      <w:r>
        <w:rPr>
          <w:rFonts w:hint="eastAsia" w:ascii="楷体_GB2312" w:hAnsi="仿宋_GB2312" w:eastAsia="楷体_GB2312" w:cs="仿宋_GB2312"/>
          <w:color w:val="000000" w:themeColor="text1"/>
          <w:kern w:val="2"/>
          <w:sz w:val="32"/>
          <w:szCs w:val="32"/>
          <w:highlight w:val="none"/>
          <w:lang w:val="en-US" w:eastAsia="zh-CN"/>
          <w14:textFill>
            <w14:solidFill>
              <w14:schemeClr w14:val="tx1"/>
            </w14:solidFill>
          </w14:textFill>
        </w:rPr>
        <w:t>推动财政政策落地见效</w:t>
      </w:r>
    </w:p>
    <w:p>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642" w:firstLineChars="200"/>
        <w:jc w:val="both"/>
        <w:textAlignment w:val="auto"/>
        <w:rPr>
          <w:rFonts w:hint="default" w:ascii="仿宋_GB2312" w:hAnsi="Calibri" w:eastAsia="仿宋_GB2312" w:cs="Calibri"/>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切实抓好减税降费。</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严格落实国家出台的减税降费政策，及时拨付</w:t>
      </w:r>
      <w:bookmarkStart w:id="0" w:name="_GoBack"/>
      <w:bookmarkEnd w:id="0"/>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留抵退税专项资金，保证政策红利及时落地，积极帮助中小微企业降成本，助推企业做大做强做优，涵养长效税源，保障我区经济高质量发展。</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落实国有资源有偿使用制度。</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盘活国有资产资源，通过市场化运营、资本化运作，提高国有资产收益，使国有资产成为政府投资新的财源，加快土地出让力度和进程，实现政府性基金收入目标，增加政府资源性收入，推动财政收入总量持续做大做强，切实增强财政保障能力。</w:t>
      </w:r>
      <w:r>
        <w:rPr>
          <w:rFonts w:hint="eastAsia" w:ascii="仿宋_GB2312"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发挥预算评审中心职能。</w:t>
      </w:r>
      <w:r>
        <w:rPr>
          <w:rFonts w:hint="eastAsia" w:ascii="仿宋_GB2312"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规范加强基础性管理工作，强化评审报告档案管理，做好评审数据的统计汇总工作，加强评审工作质量考核，增强中介机构及参与项目评审人员的责任意识，并充分利用考核结果对协作机构加强精细化管理。</w:t>
      </w:r>
      <w:r>
        <w:rPr>
          <w:rFonts w:hint="eastAsia" w:ascii="仿宋_GB2312"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深化预算绩效管理。</w:t>
      </w:r>
      <w:r>
        <w:rPr>
          <w:rFonts w:hint="eastAsia" w:ascii="仿宋_GB2312"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加强财政支出管理，增强绩效观念，</w:t>
      </w:r>
      <w:r>
        <w:rPr>
          <w:rFonts w:hint="eastAsia" w:ascii="仿宋_GB2312" w:eastAsia="仿宋_GB2312" w:cs="Times New Roman"/>
          <w:b w:val="0"/>
          <w:bCs w:val="0"/>
          <w:color w:val="000000" w:themeColor="text1"/>
          <w:kern w:val="2"/>
          <w:sz w:val="32"/>
          <w:szCs w:val="32"/>
          <w:highlight w:val="none"/>
          <w:lang w:val="en-US" w:eastAsia="zh-CN" w:bidi="ar-SA"/>
          <w14:textFill>
            <w14:solidFill>
              <w14:schemeClr w14:val="tx1"/>
            </w14:solidFill>
          </w14:textFill>
        </w:rPr>
        <w:t>进一步构建</w:t>
      </w:r>
      <w:r>
        <w:rPr>
          <w:rFonts w:hint="eastAsia" w:ascii="仿宋_GB2312"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全方位、全过程、全覆盖”的预算绩效管理体系，提高财政资金使用效益，积极践行“花钱必问效、无效必问责”的绩效管理理念，强化工作举措，加强制度建设，积极开展绩效评价工作，提高财政资金使用效益。</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高度重视暂付款清理。</w:t>
      </w:r>
      <w:r>
        <w:rPr>
          <w:rFonts w:hint="eastAsia" w:ascii="仿宋_GB2312" w:hAnsi="Calibri" w:eastAsia="仿宋_GB2312" w:cs="Calibri"/>
          <w:color w:val="000000" w:themeColor="text1"/>
          <w:kern w:val="2"/>
          <w:sz w:val="32"/>
          <w:szCs w:val="32"/>
          <w:highlight w:val="none"/>
          <w:lang w:val="en-US" w:eastAsia="zh-CN" w:bidi="ar-SA"/>
          <w14:textFill>
            <w14:solidFill>
              <w14:schemeClr w14:val="tx1"/>
            </w14:solidFill>
          </w14:textFill>
        </w:rPr>
        <w:t>切实提高政治站位，严格按照上级硬性要求，结合我区制定的具体消化方案，强化预算刚性约束，严控新增财政暂付款的同时，积极采取盘活存量资金，依法依规处置资产、安排预算资金等措施消化存量财政暂付款，防范化解财政风险，确保财政安全持续运行。</w:t>
      </w:r>
      <w:r>
        <w:rPr>
          <w:rFonts w:hint="eastAsia" w:ascii="仿宋_GB2312" w:hAnsi="Calibri" w:eastAsia="仿宋_GB2312" w:cs="Calibri"/>
          <w:b/>
          <w:bCs/>
          <w:color w:val="000000" w:themeColor="text1"/>
          <w:kern w:val="2"/>
          <w:sz w:val="32"/>
          <w:szCs w:val="32"/>
          <w:highlight w:val="none"/>
          <w:lang w:val="en-US" w:eastAsia="zh-CN" w:bidi="ar-SA"/>
          <w14:textFill>
            <w14:solidFill>
              <w14:schemeClr w14:val="tx1"/>
            </w14:solidFill>
          </w14:textFill>
        </w:rPr>
        <w:t>拓宽融资渠道。</w:t>
      </w:r>
      <w:r>
        <w:rPr>
          <w:rFonts w:hint="eastAsia" w:ascii="仿宋_GB2312" w:hAnsi="仿宋_GB2312" w:eastAsia="仿宋_GB2312" w:cs="仿宋_GB2312"/>
          <w:b w:val="0"/>
          <w:bCs w:val="0"/>
          <w:kern w:val="2"/>
          <w:sz w:val="32"/>
          <w:szCs w:val="24"/>
          <w:highlight w:val="none"/>
          <w:lang w:val="en-US" w:eastAsia="zh-CN" w:bidi="ar-SA"/>
        </w:rPr>
        <w:t>抓住隆兴公司创AA，增强国有资本运营公司市场化融资能力，积极争取国开行、农发行等政策银行项目贷和发改委基金债。</w:t>
      </w:r>
    </w:p>
    <w:p>
      <w:pPr>
        <w:widowControl w:val="0"/>
        <w:spacing w:line="580" w:lineRule="exact"/>
        <w:ind w:firstLine="640" w:firstLineChars="200"/>
        <w:jc w:val="both"/>
        <w:rPr>
          <w:rFonts w:hint="default" w:ascii="楷体_GB2312" w:hAnsi="仿宋_GB2312" w:eastAsia="楷体_GB2312" w:cs="仿宋_GB2312"/>
          <w:color w:val="000000" w:themeColor="text1"/>
          <w:kern w:val="2"/>
          <w:sz w:val="32"/>
          <w:szCs w:val="32"/>
          <w:highlight w:val="none"/>
          <w:lang w:val="en-US" w:eastAsia="zh-CN"/>
          <w14:textFill>
            <w14:solidFill>
              <w14:schemeClr w14:val="tx1"/>
            </w14:solidFill>
          </w14:textFill>
        </w:rPr>
      </w:pPr>
      <w:r>
        <w:rPr>
          <w:rFonts w:hint="eastAsia" w:ascii="楷体_GB2312" w:hAnsi="仿宋_GB2312" w:eastAsia="楷体_GB2312" w:cs="仿宋_GB2312"/>
          <w:color w:val="000000" w:themeColor="text1"/>
          <w:kern w:val="2"/>
          <w:sz w:val="32"/>
          <w:szCs w:val="32"/>
          <w:highlight w:val="none"/>
          <w14:textFill>
            <w14:solidFill>
              <w14:schemeClr w14:val="tx1"/>
            </w14:solidFill>
          </w14:textFill>
        </w:rPr>
        <w:t>（</w:t>
      </w:r>
      <w:r>
        <w:rPr>
          <w:rFonts w:hint="eastAsia" w:ascii="楷体_GB2312" w:hAnsi="仿宋_GB2312" w:eastAsia="楷体_GB2312" w:cs="仿宋_GB2312"/>
          <w:color w:val="000000" w:themeColor="text1"/>
          <w:kern w:val="2"/>
          <w:sz w:val="32"/>
          <w:szCs w:val="32"/>
          <w:highlight w:val="none"/>
          <w:lang w:val="en-US" w:eastAsia="zh-CN"/>
          <w14:textFill>
            <w14:solidFill>
              <w14:schemeClr w14:val="tx1"/>
            </w14:solidFill>
          </w14:textFill>
        </w:rPr>
        <w:t>三</w:t>
      </w:r>
      <w:r>
        <w:rPr>
          <w:rFonts w:hint="eastAsia" w:ascii="楷体_GB2312" w:hAnsi="仿宋_GB2312" w:eastAsia="楷体_GB2312" w:cs="仿宋_GB2312"/>
          <w:color w:val="000000" w:themeColor="text1"/>
          <w:kern w:val="2"/>
          <w:sz w:val="32"/>
          <w:szCs w:val="32"/>
          <w:highlight w:val="none"/>
          <w14:textFill>
            <w14:solidFill>
              <w14:schemeClr w14:val="tx1"/>
            </w14:solidFill>
          </w14:textFill>
        </w:rPr>
        <w:t>）</w:t>
      </w:r>
      <w:r>
        <w:rPr>
          <w:rFonts w:hint="eastAsia" w:ascii="楷体_GB2312" w:hAnsi="仿宋_GB2312" w:eastAsia="楷体_GB2312" w:cs="仿宋_GB2312"/>
          <w:color w:val="000000" w:themeColor="text1"/>
          <w:kern w:val="2"/>
          <w:sz w:val="32"/>
          <w:szCs w:val="32"/>
          <w:highlight w:val="none"/>
          <w:lang w:val="en-US" w:eastAsia="zh-CN"/>
          <w14:textFill>
            <w14:solidFill>
              <w14:schemeClr w14:val="tx1"/>
            </w14:solidFill>
          </w14:textFill>
        </w:rPr>
        <w:t>全力保障改善民生</w:t>
      </w:r>
    </w:p>
    <w:p>
      <w:pPr>
        <w:widowControl w:val="0"/>
        <w:spacing w:line="580" w:lineRule="exact"/>
        <w:ind w:firstLine="642" w:firstLineChars="200"/>
        <w:jc w:val="both"/>
        <w:rPr>
          <w:rFonts w:hint="default" w:ascii="仿宋_GB2312" w:hAnsi="仿宋" w:eastAsia="仿宋_GB2312" w:cs="仿宋"/>
          <w:color w:val="000000" w:themeColor="text1"/>
          <w:kern w:val="2"/>
          <w:sz w:val="32"/>
          <w:szCs w:val="32"/>
          <w:highlight w:val="none"/>
          <w:lang w:val="en-US"/>
          <w14:textFill>
            <w14:solidFill>
              <w14:schemeClr w14:val="tx1"/>
            </w14:solidFill>
          </w14:textFill>
        </w:rPr>
      </w:pPr>
      <w:r>
        <w:rPr>
          <w:rFonts w:hint="eastAsia" w:ascii="仿宋_GB2312" w:hAnsi="仿宋_GB2312" w:eastAsia="仿宋_GB2312" w:cs="仿宋_GB2312"/>
          <w:b/>
          <w:color w:val="000000" w:themeColor="text1"/>
          <w:kern w:val="2"/>
          <w:sz w:val="32"/>
          <w:szCs w:val="32"/>
          <w:highlight w:val="none"/>
          <w:lang w:val="en-US" w:eastAsia="zh-CN"/>
          <w14:textFill>
            <w14:solidFill>
              <w14:schemeClr w14:val="tx1"/>
            </w14:solidFill>
          </w14:textFill>
        </w:rPr>
        <w:t>坚决兜紧兜牢</w:t>
      </w:r>
      <w:r>
        <w:rPr>
          <w:rFonts w:hint="eastAsia" w:ascii="仿宋_GB2312" w:hAnsi="仿宋_GB2312" w:eastAsia="仿宋_GB2312" w:cs="仿宋_GB2312"/>
          <w:b/>
          <w:color w:val="000000" w:themeColor="text1"/>
          <w:kern w:val="2"/>
          <w:sz w:val="32"/>
          <w:szCs w:val="32"/>
          <w:highlight w:val="none"/>
          <w14:textFill>
            <w14:solidFill>
              <w14:schemeClr w14:val="tx1"/>
            </w14:solidFill>
          </w14:textFill>
        </w:rPr>
        <w:t>“三保”底线。</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坚持“三保”支出在预算安排和库款拨付等方面优先顺序，提前研判“三保”风险，压缩一般性支出，切实提高预算安排和财力状况的匹配程度，确保国家和省市相关工资政策和各种补贴类民生资金足额安排到位。</w:t>
      </w:r>
      <w:r>
        <w:rPr>
          <w:rFonts w:hint="eastAsia" w:ascii="仿宋_GB2312" w:hAnsi="仿宋_GB2312" w:eastAsia="仿宋_GB2312" w:cs="仿宋_GB2312"/>
          <w:b/>
          <w:bCs w:val="0"/>
          <w:color w:val="000000" w:themeColor="text1"/>
          <w:kern w:val="2"/>
          <w:sz w:val="32"/>
          <w:szCs w:val="32"/>
          <w:highlight w:val="none"/>
          <w:lang w:val="en-US" w:eastAsia="zh-CN"/>
          <w14:textFill>
            <w14:solidFill>
              <w14:schemeClr w14:val="tx1"/>
            </w14:solidFill>
          </w14:textFill>
        </w:rPr>
        <w:t>支持教育均衡发展。</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落实义务教育经费保障机制，</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促进义务教育优质均衡发展和城乡一体化，</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支持办好学前教育，增加普惠性教育资源供给。</w:t>
      </w:r>
      <w:r>
        <w:rPr>
          <w:rFonts w:hint="eastAsia" w:ascii="仿宋_GB2312" w:hAnsi="仿宋_GB2312" w:eastAsia="仿宋_GB2312" w:cs="仿宋_GB2312"/>
          <w:b/>
          <w:bCs/>
          <w:color w:val="000000" w:themeColor="text1"/>
          <w:kern w:val="2"/>
          <w:sz w:val="32"/>
          <w:szCs w:val="32"/>
          <w:highlight w:val="none"/>
          <w:lang w:val="en-US" w:eastAsia="zh-CN"/>
          <w14:textFill>
            <w14:solidFill>
              <w14:schemeClr w14:val="tx1"/>
            </w14:solidFill>
          </w14:textFill>
        </w:rPr>
        <w:t>加快城乡公共文化服务体系建设。</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加强公共文化产品和服务供给，发展富有特色的全链条文旅业态。</w:t>
      </w:r>
      <w:r>
        <w:rPr>
          <w:rFonts w:hint="eastAsia" w:ascii="仿宋_GB2312" w:hAnsi="仿宋_GB2312" w:eastAsia="仿宋_GB2312" w:cs="仿宋_GB2312"/>
          <w:b/>
          <w:bCs/>
          <w:color w:val="000000" w:themeColor="text1"/>
          <w:kern w:val="2"/>
          <w:sz w:val="32"/>
          <w:szCs w:val="32"/>
          <w:highlight w:val="none"/>
          <w:lang w:val="en-US" w:eastAsia="zh-CN"/>
          <w14:textFill>
            <w14:solidFill>
              <w14:schemeClr w14:val="tx1"/>
            </w14:solidFill>
          </w14:textFill>
        </w:rPr>
        <w:t>提高公共卫生服务保障水平。</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提升基层公共卫生服务能力，加快公共卫生体系建设，不断优化医疗服务体系，严格落实城乡居民基本医疗保险财政补助标准和基本公共卫生服务均等化补助标准。</w:t>
      </w:r>
      <w:r>
        <w:rPr>
          <w:rFonts w:hint="eastAsia" w:ascii="仿宋_GB2312" w:hAnsi="仿宋_GB2312" w:eastAsia="仿宋_GB2312" w:cs="仿宋_GB2312"/>
          <w:b/>
          <w:bCs/>
          <w:color w:val="000000" w:themeColor="text1"/>
          <w:kern w:val="2"/>
          <w:sz w:val="32"/>
          <w:szCs w:val="32"/>
          <w:highlight w:val="none"/>
          <w:lang w:val="en-US" w:eastAsia="zh-CN"/>
          <w14:textFill>
            <w14:solidFill>
              <w14:schemeClr w14:val="tx1"/>
            </w14:solidFill>
          </w14:textFill>
        </w:rPr>
        <w:t>支持社保政策落实。</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加大就业财政政策支持力度，推动“人人持证，技能河南”建设平稳实施，提高对基本养老保险基金的补助水平，着力保障残疾人生存发展权益，切实保障和维护军人及家庭权益，加快健全覆盖全民、统筹城乡、公平统一、可持续的多层次社会保障体系。</w:t>
      </w:r>
    </w:p>
    <w:p>
      <w:pPr>
        <w:widowControl w:val="0"/>
        <w:spacing w:line="580" w:lineRule="exact"/>
        <w:ind w:firstLine="640" w:firstLineChars="200"/>
        <w:jc w:val="both"/>
        <w:rPr>
          <w:rFonts w:ascii="楷体_GB2312" w:hAnsi="仿宋_GB2312" w:eastAsia="楷体_GB2312" w:cs="仿宋_GB2312"/>
          <w:color w:val="000000" w:themeColor="text1"/>
          <w:kern w:val="2"/>
          <w:sz w:val="32"/>
          <w:szCs w:val="32"/>
          <w:highlight w:val="none"/>
          <w14:textFill>
            <w14:solidFill>
              <w14:schemeClr w14:val="tx1"/>
            </w14:solidFill>
          </w14:textFill>
        </w:rPr>
      </w:pPr>
      <w:r>
        <w:rPr>
          <w:rFonts w:hint="eastAsia" w:ascii="楷体_GB2312" w:hAnsi="仿宋_GB2312" w:eastAsia="楷体_GB2312" w:cs="仿宋_GB2312"/>
          <w:color w:val="000000" w:themeColor="text1"/>
          <w:kern w:val="2"/>
          <w:sz w:val="32"/>
          <w:szCs w:val="32"/>
          <w:highlight w:val="none"/>
          <w14:textFill>
            <w14:solidFill>
              <w14:schemeClr w14:val="tx1"/>
            </w14:solidFill>
          </w14:textFill>
        </w:rPr>
        <w:t>（四）</w:t>
      </w:r>
      <w:r>
        <w:rPr>
          <w:rFonts w:hint="eastAsia" w:ascii="楷体_GB2312" w:hAnsi="仿宋_GB2312" w:eastAsia="楷体_GB2312" w:cs="仿宋_GB2312"/>
          <w:color w:val="000000" w:themeColor="text1"/>
          <w:kern w:val="2"/>
          <w:sz w:val="32"/>
          <w:szCs w:val="32"/>
          <w:highlight w:val="none"/>
          <w:lang w:val="en-US" w:eastAsia="zh-CN"/>
          <w14:textFill>
            <w14:solidFill>
              <w14:schemeClr w14:val="tx1"/>
            </w14:solidFill>
          </w14:textFill>
        </w:rPr>
        <w:t>完善</w:t>
      </w:r>
      <w:r>
        <w:rPr>
          <w:rFonts w:hint="eastAsia" w:ascii="楷体_GB2312" w:hAnsi="仿宋_GB2312" w:eastAsia="楷体_GB2312" w:cs="仿宋_GB2312"/>
          <w:color w:val="000000" w:themeColor="text1"/>
          <w:kern w:val="2"/>
          <w:sz w:val="32"/>
          <w:szCs w:val="32"/>
          <w:highlight w:val="none"/>
          <w14:textFill>
            <w14:solidFill>
              <w14:schemeClr w14:val="tx1"/>
            </w14:solidFill>
          </w14:textFill>
        </w:rPr>
        <w:t>政府债务管理</w:t>
      </w:r>
    </w:p>
    <w:p>
      <w:pPr>
        <w:widowControl w:val="0"/>
        <w:spacing w:line="580" w:lineRule="exact"/>
        <w:ind w:firstLine="642" w:firstLineChars="200"/>
        <w:jc w:val="both"/>
        <w:rPr>
          <w:rFonts w:hint="default"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14:textFill>
            <w14:solidFill>
              <w14:schemeClr w14:val="tx1"/>
            </w14:solidFill>
          </w14:textFill>
        </w:rPr>
        <w:t>坚守底线思维</w:t>
      </w:r>
      <w:r>
        <w:rPr>
          <w:rFonts w:hint="eastAsia" w:ascii="仿宋_GB2312" w:hAnsi="仿宋_GB2312" w:eastAsia="仿宋_GB2312" w:cs="仿宋_GB2312"/>
          <w:b/>
          <w:bCs/>
          <w:color w:val="000000" w:themeColor="text1"/>
          <w:kern w:val="2"/>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kern w:val="2"/>
          <w:sz w:val="32"/>
          <w:szCs w:val="32"/>
          <w:highlight w:val="none"/>
          <w:lang w:val="en-US" w:eastAsia="zh-CN"/>
          <w14:textFill>
            <w14:solidFill>
              <w14:schemeClr w14:val="tx1"/>
            </w14:solidFill>
          </w14:textFill>
        </w:rPr>
        <w:t>严格落实政府债务新增规模控制和余额限额管理，有序推进存量债务化解，及时下达债券资金，规范债券资金使用</w:t>
      </w:r>
      <w:r>
        <w:rPr>
          <w:rFonts w:hint="eastAsia" w:ascii="仿宋_GB2312" w:hAnsi="仿宋_GB2312" w:eastAsia="仿宋_GB2312" w:cs="仿宋_GB2312"/>
          <w:bCs/>
          <w:color w:val="000000" w:themeColor="text1"/>
          <w:kern w:val="2"/>
          <w:sz w:val="32"/>
          <w:szCs w:val="32"/>
          <w:highlight w:val="none"/>
          <w14:textFill>
            <w14:solidFill>
              <w14:schemeClr w14:val="tx1"/>
            </w14:solidFill>
          </w14:textFill>
        </w:rPr>
        <w:t>。</w:t>
      </w:r>
      <w:r>
        <w:rPr>
          <w:rFonts w:hint="eastAsia" w:ascii="仿宋_GB2312" w:hAnsi="仿宋_GB2312" w:eastAsia="仿宋_GB2312" w:cs="仿宋_GB2312"/>
          <w:b/>
          <w:bCs w:val="0"/>
          <w:color w:val="000000" w:themeColor="text1"/>
          <w:kern w:val="2"/>
          <w:sz w:val="32"/>
          <w:szCs w:val="32"/>
          <w:highlight w:val="none"/>
          <w:lang w:val="en-US" w:eastAsia="zh-CN"/>
          <w14:textFill>
            <w14:solidFill>
              <w14:schemeClr w14:val="tx1"/>
            </w14:solidFill>
          </w14:textFill>
        </w:rPr>
        <w:t>做好政府专项债券争取工作。</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加强地方政府专项债券项目储备和前期工作，组织开展专项债券业务培训，指导各行业部门更加有质有效谋划申报专项债项目，提高项目科学性、合规性、成熟性。</w:t>
      </w:r>
      <w:r>
        <w:rPr>
          <w:rFonts w:hint="eastAsia" w:ascii="仿宋_GB2312" w:hAnsi="仿宋_GB2312" w:eastAsia="仿宋_GB2312" w:cs="仿宋_GB2312"/>
          <w:b/>
          <w:bCs w:val="0"/>
          <w:color w:val="000000" w:themeColor="text1"/>
          <w:kern w:val="2"/>
          <w:sz w:val="32"/>
          <w:szCs w:val="32"/>
          <w:highlight w:val="none"/>
          <w:lang w:val="en-US" w:eastAsia="zh-CN"/>
          <w14:textFill>
            <w14:solidFill>
              <w14:schemeClr w14:val="tx1"/>
            </w14:solidFill>
          </w14:textFill>
        </w:rPr>
        <w:t>防范化解财政风险。</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坚持“防前门，堵后门”，加强融资需求端管理，不得以任何方式新增隐性债务，加强专项债券投后管理，严禁“以拨代支”、“一拨了之”等行为，健全项目管理机制，按时足额还本付息，确保法定债券不出任何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Helvetica Neue" w:hAnsi="Helvetica Neue" w:cs="Helvetica Neue"/>
          <w:kern w:val="0"/>
          <w:sz w:val="24"/>
          <w:highlight w:val="none"/>
        </w:rPr>
      </w:pPr>
      <w:r>
        <w:rPr>
          <w:rFonts w:hint="eastAsia" w:ascii="仿宋_GB2312" w:hAnsi="仿宋" w:eastAsia="仿宋_GB2312" w:cs="Times New Roman"/>
          <w:color w:val="000000" w:themeColor="text1"/>
          <w:kern w:val="2"/>
          <w:sz w:val="32"/>
          <w:szCs w:val="32"/>
          <w:highlight w:val="none"/>
          <w:lang w:val="en-US" w:eastAsia="zh-CN" w:bidi="ar-SA"/>
          <w14:textFill>
            <w14:solidFill>
              <w14:schemeClr w14:val="tx1"/>
            </w14:solidFill>
          </w14:textFill>
        </w:rPr>
        <w:t>做好2023年财政工作，任务艰巨，责任重大，我们将在区委正确领导和人大监督指导下，认真落实本次会议对财政工作提出的新要求，履职尽责，真抓实干，努力做好各项财政工作，积极主动服务大局，全力完成各项财政工作任务，为龙安区经济社会发展做出新的更大的贡献。</w:t>
      </w:r>
    </w:p>
    <w:sectPr>
      <w:headerReference r:id="rId3" w:type="default"/>
      <w:footerReference r:id="rId4" w:type="default"/>
      <w:pgSz w:w="11906" w:h="16838"/>
      <w:pgMar w:top="1701" w:right="1474" w:bottom="1984" w:left="1587" w:header="851" w:footer="1417" w:gutter="0"/>
      <w:pgBorders>
        <w:top w:val="none" w:sz="0" w:space="0"/>
        <w:left w:val="none" w:sz="0" w:space="0"/>
        <w:bottom w:val="none" w:sz="0" w:space="0"/>
        <w:right w:val="none" w:sz="0" w:space="0"/>
      </w:pgBorders>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汉仪叶叶相思体简"/>
    <w:panose1 w:val="00000000000000000000"/>
    <w:charset w:val="00"/>
    <w:family w:val="roman"/>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rPr>
        <w:rStyle w:val="15"/>
      </w:rPr>
      <w:fldChar w:fldCharType="begin"/>
    </w:r>
    <w:r>
      <w:rPr>
        <w:rStyle w:val="15"/>
      </w:rPr>
      <w:instrText xml:space="preserve"> PAGE </w:instrText>
    </w:r>
    <w:r>
      <w:rPr>
        <w:rStyle w:val="15"/>
      </w:rPr>
      <w:fldChar w:fldCharType="separate"/>
    </w:r>
    <w:r>
      <w:rPr>
        <w:rStyle w:val="15"/>
      </w:rPr>
      <w:t>- 1 -</w:t>
    </w:r>
    <w:r>
      <w:rPr>
        <w:rStyle w:val="15"/>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true"/>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ZjQ1NGY3ODFkOGI5MGQxYWFiN2NiMmY1NjkyNWMifQ=="/>
  </w:docVars>
  <w:rsids>
    <w:rsidRoot w:val="5EBE1BCF"/>
    <w:rsid w:val="00000591"/>
    <w:rsid w:val="00001030"/>
    <w:rsid w:val="000266BF"/>
    <w:rsid w:val="000434F1"/>
    <w:rsid w:val="00061671"/>
    <w:rsid w:val="00064AA6"/>
    <w:rsid w:val="000710DC"/>
    <w:rsid w:val="0008420F"/>
    <w:rsid w:val="00086D96"/>
    <w:rsid w:val="00095080"/>
    <w:rsid w:val="000A1250"/>
    <w:rsid w:val="000A5AFF"/>
    <w:rsid w:val="000D3B4A"/>
    <w:rsid w:val="000D5B1C"/>
    <w:rsid w:val="000D5CE0"/>
    <w:rsid w:val="000E31AC"/>
    <w:rsid w:val="00103971"/>
    <w:rsid w:val="00103D51"/>
    <w:rsid w:val="001069E1"/>
    <w:rsid w:val="00110D0E"/>
    <w:rsid w:val="001353A4"/>
    <w:rsid w:val="001362E3"/>
    <w:rsid w:val="001374BA"/>
    <w:rsid w:val="00141C55"/>
    <w:rsid w:val="001423F1"/>
    <w:rsid w:val="0014394F"/>
    <w:rsid w:val="00154F1E"/>
    <w:rsid w:val="00157FEE"/>
    <w:rsid w:val="001A1C04"/>
    <w:rsid w:val="001A3112"/>
    <w:rsid w:val="001A4C9A"/>
    <w:rsid w:val="001A4C9E"/>
    <w:rsid w:val="001A740E"/>
    <w:rsid w:val="001B2188"/>
    <w:rsid w:val="001C08A6"/>
    <w:rsid w:val="001C0BA0"/>
    <w:rsid w:val="001C4E8B"/>
    <w:rsid w:val="001D413A"/>
    <w:rsid w:val="001D5DD4"/>
    <w:rsid w:val="001F269C"/>
    <w:rsid w:val="00202210"/>
    <w:rsid w:val="0022356F"/>
    <w:rsid w:val="00235F4E"/>
    <w:rsid w:val="00250A6C"/>
    <w:rsid w:val="00266AD5"/>
    <w:rsid w:val="00270A8E"/>
    <w:rsid w:val="002A7E10"/>
    <w:rsid w:val="002B58D3"/>
    <w:rsid w:val="002C5311"/>
    <w:rsid w:val="002D4B86"/>
    <w:rsid w:val="002E25CA"/>
    <w:rsid w:val="002F4B6E"/>
    <w:rsid w:val="003305C8"/>
    <w:rsid w:val="00343830"/>
    <w:rsid w:val="00351FFE"/>
    <w:rsid w:val="003607F5"/>
    <w:rsid w:val="00376225"/>
    <w:rsid w:val="003A2CCF"/>
    <w:rsid w:val="003B0363"/>
    <w:rsid w:val="003D18FE"/>
    <w:rsid w:val="003E130B"/>
    <w:rsid w:val="003E49AE"/>
    <w:rsid w:val="003F3B04"/>
    <w:rsid w:val="00401471"/>
    <w:rsid w:val="00415C9F"/>
    <w:rsid w:val="00435430"/>
    <w:rsid w:val="00444EF2"/>
    <w:rsid w:val="004538CE"/>
    <w:rsid w:val="00472E6E"/>
    <w:rsid w:val="004810BB"/>
    <w:rsid w:val="004874C3"/>
    <w:rsid w:val="004A0D9B"/>
    <w:rsid w:val="004A17D4"/>
    <w:rsid w:val="004A73B8"/>
    <w:rsid w:val="004C2DBA"/>
    <w:rsid w:val="004E04E8"/>
    <w:rsid w:val="004E66E9"/>
    <w:rsid w:val="004E6CCA"/>
    <w:rsid w:val="004F54C3"/>
    <w:rsid w:val="005137BD"/>
    <w:rsid w:val="005544F9"/>
    <w:rsid w:val="00571E71"/>
    <w:rsid w:val="0059200D"/>
    <w:rsid w:val="005A621C"/>
    <w:rsid w:val="005B3668"/>
    <w:rsid w:val="005D1E37"/>
    <w:rsid w:val="00616EF3"/>
    <w:rsid w:val="00645440"/>
    <w:rsid w:val="006460BA"/>
    <w:rsid w:val="006775F9"/>
    <w:rsid w:val="006864CD"/>
    <w:rsid w:val="00691CBD"/>
    <w:rsid w:val="006932F3"/>
    <w:rsid w:val="006B2422"/>
    <w:rsid w:val="006B5D76"/>
    <w:rsid w:val="006D115B"/>
    <w:rsid w:val="006D324F"/>
    <w:rsid w:val="006F00B6"/>
    <w:rsid w:val="007125B2"/>
    <w:rsid w:val="00712D92"/>
    <w:rsid w:val="00721A2B"/>
    <w:rsid w:val="007313BC"/>
    <w:rsid w:val="00741963"/>
    <w:rsid w:val="007447DB"/>
    <w:rsid w:val="00751FA9"/>
    <w:rsid w:val="007608BE"/>
    <w:rsid w:val="00760DB9"/>
    <w:rsid w:val="007903B1"/>
    <w:rsid w:val="00796A5B"/>
    <w:rsid w:val="007978A8"/>
    <w:rsid w:val="007B0BFB"/>
    <w:rsid w:val="007C530C"/>
    <w:rsid w:val="007C5A6A"/>
    <w:rsid w:val="007E3B58"/>
    <w:rsid w:val="008010D8"/>
    <w:rsid w:val="0081045F"/>
    <w:rsid w:val="00813986"/>
    <w:rsid w:val="00813E6A"/>
    <w:rsid w:val="00820544"/>
    <w:rsid w:val="008246C2"/>
    <w:rsid w:val="00847756"/>
    <w:rsid w:val="00851174"/>
    <w:rsid w:val="008575AC"/>
    <w:rsid w:val="0086778D"/>
    <w:rsid w:val="00867F1B"/>
    <w:rsid w:val="00894B07"/>
    <w:rsid w:val="00896A60"/>
    <w:rsid w:val="008B4E73"/>
    <w:rsid w:val="008C0CD6"/>
    <w:rsid w:val="008D260E"/>
    <w:rsid w:val="008E08B7"/>
    <w:rsid w:val="008F2E11"/>
    <w:rsid w:val="009207E1"/>
    <w:rsid w:val="00922CC1"/>
    <w:rsid w:val="00927D36"/>
    <w:rsid w:val="009322C0"/>
    <w:rsid w:val="00963038"/>
    <w:rsid w:val="009757D5"/>
    <w:rsid w:val="00982625"/>
    <w:rsid w:val="00986ACD"/>
    <w:rsid w:val="00996A7C"/>
    <w:rsid w:val="009A1EB8"/>
    <w:rsid w:val="009C69DA"/>
    <w:rsid w:val="00A05722"/>
    <w:rsid w:val="00A14850"/>
    <w:rsid w:val="00A20A12"/>
    <w:rsid w:val="00A308FC"/>
    <w:rsid w:val="00A43B30"/>
    <w:rsid w:val="00A85227"/>
    <w:rsid w:val="00A921A8"/>
    <w:rsid w:val="00AC0538"/>
    <w:rsid w:val="00AC4777"/>
    <w:rsid w:val="00AD1572"/>
    <w:rsid w:val="00AE3C63"/>
    <w:rsid w:val="00AE7952"/>
    <w:rsid w:val="00AF3867"/>
    <w:rsid w:val="00AF7EB7"/>
    <w:rsid w:val="00B006B5"/>
    <w:rsid w:val="00B129E2"/>
    <w:rsid w:val="00B139A1"/>
    <w:rsid w:val="00B26B16"/>
    <w:rsid w:val="00B33DD0"/>
    <w:rsid w:val="00B44A2A"/>
    <w:rsid w:val="00B72BB7"/>
    <w:rsid w:val="00BA1214"/>
    <w:rsid w:val="00BA274C"/>
    <w:rsid w:val="00BA6FFB"/>
    <w:rsid w:val="00BC105F"/>
    <w:rsid w:val="00BD5E51"/>
    <w:rsid w:val="00BF7033"/>
    <w:rsid w:val="00C01DE4"/>
    <w:rsid w:val="00C11A3C"/>
    <w:rsid w:val="00C1287F"/>
    <w:rsid w:val="00C173A2"/>
    <w:rsid w:val="00C205DD"/>
    <w:rsid w:val="00C2729C"/>
    <w:rsid w:val="00C372F8"/>
    <w:rsid w:val="00C373EA"/>
    <w:rsid w:val="00C61B98"/>
    <w:rsid w:val="00C73D59"/>
    <w:rsid w:val="00C875D5"/>
    <w:rsid w:val="00C94135"/>
    <w:rsid w:val="00CA1997"/>
    <w:rsid w:val="00CA4645"/>
    <w:rsid w:val="00CC7446"/>
    <w:rsid w:val="00CE3E8E"/>
    <w:rsid w:val="00D03806"/>
    <w:rsid w:val="00D14A54"/>
    <w:rsid w:val="00D14CE7"/>
    <w:rsid w:val="00D33B86"/>
    <w:rsid w:val="00D5194B"/>
    <w:rsid w:val="00D72821"/>
    <w:rsid w:val="00DC43C0"/>
    <w:rsid w:val="00DD57C1"/>
    <w:rsid w:val="00DF4DAE"/>
    <w:rsid w:val="00E13A6F"/>
    <w:rsid w:val="00E22865"/>
    <w:rsid w:val="00E33D34"/>
    <w:rsid w:val="00E42383"/>
    <w:rsid w:val="00E5732E"/>
    <w:rsid w:val="00E643F1"/>
    <w:rsid w:val="00E81325"/>
    <w:rsid w:val="00E84392"/>
    <w:rsid w:val="00E967DC"/>
    <w:rsid w:val="00EC5A4F"/>
    <w:rsid w:val="00F21331"/>
    <w:rsid w:val="00F25E85"/>
    <w:rsid w:val="00F266B8"/>
    <w:rsid w:val="00F54E88"/>
    <w:rsid w:val="00F571DB"/>
    <w:rsid w:val="00F7160E"/>
    <w:rsid w:val="00F77545"/>
    <w:rsid w:val="00F86AFA"/>
    <w:rsid w:val="00F9584E"/>
    <w:rsid w:val="00FA077A"/>
    <w:rsid w:val="00FB238F"/>
    <w:rsid w:val="00FC0C4E"/>
    <w:rsid w:val="00FD1EB3"/>
    <w:rsid w:val="00FE70BF"/>
    <w:rsid w:val="011E2464"/>
    <w:rsid w:val="0162050F"/>
    <w:rsid w:val="02467E97"/>
    <w:rsid w:val="028D23AA"/>
    <w:rsid w:val="029E2084"/>
    <w:rsid w:val="029F281A"/>
    <w:rsid w:val="02A62A89"/>
    <w:rsid w:val="02A95619"/>
    <w:rsid w:val="03474314"/>
    <w:rsid w:val="034C7A3F"/>
    <w:rsid w:val="036D14B2"/>
    <w:rsid w:val="036D24B1"/>
    <w:rsid w:val="03D44D6E"/>
    <w:rsid w:val="04DB2F13"/>
    <w:rsid w:val="054B16F7"/>
    <w:rsid w:val="05AB63B7"/>
    <w:rsid w:val="05FC066B"/>
    <w:rsid w:val="060C5C00"/>
    <w:rsid w:val="06756908"/>
    <w:rsid w:val="06DE4BE7"/>
    <w:rsid w:val="06F37A6F"/>
    <w:rsid w:val="092F7B5B"/>
    <w:rsid w:val="094F680B"/>
    <w:rsid w:val="095E220C"/>
    <w:rsid w:val="0993610B"/>
    <w:rsid w:val="09F34ED0"/>
    <w:rsid w:val="0A972A12"/>
    <w:rsid w:val="0A9F4E85"/>
    <w:rsid w:val="0ABC3EF4"/>
    <w:rsid w:val="0AFD0EBC"/>
    <w:rsid w:val="0B2746EC"/>
    <w:rsid w:val="0B4811D9"/>
    <w:rsid w:val="0D8D3E9A"/>
    <w:rsid w:val="0DC22703"/>
    <w:rsid w:val="0E4C0072"/>
    <w:rsid w:val="0EB2020F"/>
    <w:rsid w:val="0F1D1B2D"/>
    <w:rsid w:val="0FAD046A"/>
    <w:rsid w:val="103324A9"/>
    <w:rsid w:val="104037BC"/>
    <w:rsid w:val="118C5802"/>
    <w:rsid w:val="11AF6DC5"/>
    <w:rsid w:val="1279601C"/>
    <w:rsid w:val="127962EB"/>
    <w:rsid w:val="12FA0C38"/>
    <w:rsid w:val="1329216B"/>
    <w:rsid w:val="13AB3C9B"/>
    <w:rsid w:val="14215943"/>
    <w:rsid w:val="147B20B0"/>
    <w:rsid w:val="14AF5199"/>
    <w:rsid w:val="14DF790F"/>
    <w:rsid w:val="14FC5310"/>
    <w:rsid w:val="154449A2"/>
    <w:rsid w:val="154D7FC2"/>
    <w:rsid w:val="15F24C06"/>
    <w:rsid w:val="177E5807"/>
    <w:rsid w:val="186D61A3"/>
    <w:rsid w:val="18E5261A"/>
    <w:rsid w:val="1A21451C"/>
    <w:rsid w:val="1A3D367B"/>
    <w:rsid w:val="1A537712"/>
    <w:rsid w:val="1A91208D"/>
    <w:rsid w:val="1B545FC8"/>
    <w:rsid w:val="1B551D0A"/>
    <w:rsid w:val="1BDC13C0"/>
    <w:rsid w:val="1BE108C9"/>
    <w:rsid w:val="1D332EDF"/>
    <w:rsid w:val="1D60622D"/>
    <w:rsid w:val="1D8925E8"/>
    <w:rsid w:val="1D89620A"/>
    <w:rsid w:val="1E2C677C"/>
    <w:rsid w:val="1E914423"/>
    <w:rsid w:val="1EB32F4F"/>
    <w:rsid w:val="1F3E48DE"/>
    <w:rsid w:val="1F853C21"/>
    <w:rsid w:val="1F9C084C"/>
    <w:rsid w:val="1FAA17F2"/>
    <w:rsid w:val="1FCF01B4"/>
    <w:rsid w:val="2065234C"/>
    <w:rsid w:val="206F0EC3"/>
    <w:rsid w:val="20AC3C46"/>
    <w:rsid w:val="20BA13B8"/>
    <w:rsid w:val="20D563E2"/>
    <w:rsid w:val="20D91494"/>
    <w:rsid w:val="210A02FD"/>
    <w:rsid w:val="213F2E0F"/>
    <w:rsid w:val="214136D9"/>
    <w:rsid w:val="21B2379C"/>
    <w:rsid w:val="21D73976"/>
    <w:rsid w:val="220B62AC"/>
    <w:rsid w:val="22FB1F69"/>
    <w:rsid w:val="230C040D"/>
    <w:rsid w:val="2399137B"/>
    <w:rsid w:val="23AC7FA5"/>
    <w:rsid w:val="24BA1A32"/>
    <w:rsid w:val="251E043C"/>
    <w:rsid w:val="25295DA0"/>
    <w:rsid w:val="2579542A"/>
    <w:rsid w:val="258F43CC"/>
    <w:rsid w:val="25B97622"/>
    <w:rsid w:val="26921350"/>
    <w:rsid w:val="26CD68E3"/>
    <w:rsid w:val="275C2174"/>
    <w:rsid w:val="275E5D86"/>
    <w:rsid w:val="2769166F"/>
    <w:rsid w:val="27C063B2"/>
    <w:rsid w:val="288D6856"/>
    <w:rsid w:val="28944720"/>
    <w:rsid w:val="291423B9"/>
    <w:rsid w:val="2A561076"/>
    <w:rsid w:val="2A755A95"/>
    <w:rsid w:val="2AE306AA"/>
    <w:rsid w:val="2B7E3C98"/>
    <w:rsid w:val="2B807273"/>
    <w:rsid w:val="2BB1205D"/>
    <w:rsid w:val="2BB86A0D"/>
    <w:rsid w:val="2BD31A99"/>
    <w:rsid w:val="2C007EF8"/>
    <w:rsid w:val="2C634A69"/>
    <w:rsid w:val="2C760DE1"/>
    <w:rsid w:val="2D044582"/>
    <w:rsid w:val="2D594220"/>
    <w:rsid w:val="2E9A3622"/>
    <w:rsid w:val="2EC60EF1"/>
    <w:rsid w:val="306E4992"/>
    <w:rsid w:val="307A4084"/>
    <w:rsid w:val="31027DEC"/>
    <w:rsid w:val="322F357C"/>
    <w:rsid w:val="329238C7"/>
    <w:rsid w:val="32FC42C5"/>
    <w:rsid w:val="337622D0"/>
    <w:rsid w:val="349A6501"/>
    <w:rsid w:val="35796FCF"/>
    <w:rsid w:val="357F373F"/>
    <w:rsid w:val="35934191"/>
    <w:rsid w:val="35CC6293"/>
    <w:rsid w:val="367C044C"/>
    <w:rsid w:val="36C803EC"/>
    <w:rsid w:val="36DF1002"/>
    <w:rsid w:val="370A736F"/>
    <w:rsid w:val="39291450"/>
    <w:rsid w:val="398B3F0E"/>
    <w:rsid w:val="39967D31"/>
    <w:rsid w:val="39EC5C81"/>
    <w:rsid w:val="3AAD5B83"/>
    <w:rsid w:val="3AEA295B"/>
    <w:rsid w:val="3B19189F"/>
    <w:rsid w:val="3B4203BD"/>
    <w:rsid w:val="3BEE6C1A"/>
    <w:rsid w:val="3C2B6BB6"/>
    <w:rsid w:val="3C8A7C0A"/>
    <w:rsid w:val="3CDF5FF7"/>
    <w:rsid w:val="3CEC1F46"/>
    <w:rsid w:val="3D8835CB"/>
    <w:rsid w:val="3DB61FB4"/>
    <w:rsid w:val="3DE00590"/>
    <w:rsid w:val="3E5A34E8"/>
    <w:rsid w:val="3E7F4EC3"/>
    <w:rsid w:val="3EC85379"/>
    <w:rsid w:val="3F970C32"/>
    <w:rsid w:val="400B0C70"/>
    <w:rsid w:val="40243E17"/>
    <w:rsid w:val="40260F8D"/>
    <w:rsid w:val="40E3416F"/>
    <w:rsid w:val="412851BA"/>
    <w:rsid w:val="416B66A4"/>
    <w:rsid w:val="429959E6"/>
    <w:rsid w:val="4302526B"/>
    <w:rsid w:val="432806E4"/>
    <w:rsid w:val="43695DAA"/>
    <w:rsid w:val="4386366F"/>
    <w:rsid w:val="44576F5F"/>
    <w:rsid w:val="44874618"/>
    <w:rsid w:val="4496537B"/>
    <w:rsid w:val="44B222AB"/>
    <w:rsid w:val="44C96B9F"/>
    <w:rsid w:val="45075D21"/>
    <w:rsid w:val="450C3B3D"/>
    <w:rsid w:val="451829E5"/>
    <w:rsid w:val="452419F8"/>
    <w:rsid w:val="461F21B4"/>
    <w:rsid w:val="46B40F7C"/>
    <w:rsid w:val="46EA09AC"/>
    <w:rsid w:val="473A59AF"/>
    <w:rsid w:val="479A1D6A"/>
    <w:rsid w:val="47D21405"/>
    <w:rsid w:val="4865047C"/>
    <w:rsid w:val="48663E12"/>
    <w:rsid w:val="48A24E25"/>
    <w:rsid w:val="48AA6C19"/>
    <w:rsid w:val="48FE1B9B"/>
    <w:rsid w:val="49470F79"/>
    <w:rsid w:val="49B64B2A"/>
    <w:rsid w:val="49E61AE0"/>
    <w:rsid w:val="49F5104E"/>
    <w:rsid w:val="4A3239D7"/>
    <w:rsid w:val="4A6F4AE1"/>
    <w:rsid w:val="4AD46805"/>
    <w:rsid w:val="4B5255F3"/>
    <w:rsid w:val="4BC1190A"/>
    <w:rsid w:val="4BD666B5"/>
    <w:rsid w:val="4C212D7E"/>
    <w:rsid w:val="4C245A7F"/>
    <w:rsid w:val="4CE5607E"/>
    <w:rsid w:val="4D020545"/>
    <w:rsid w:val="4D48571B"/>
    <w:rsid w:val="4D862D70"/>
    <w:rsid w:val="4E4E73FF"/>
    <w:rsid w:val="4E554B19"/>
    <w:rsid w:val="4EC347D9"/>
    <w:rsid w:val="4EF34719"/>
    <w:rsid w:val="4F3B5A96"/>
    <w:rsid w:val="4F462F9B"/>
    <w:rsid w:val="4FE04474"/>
    <w:rsid w:val="503C6D7C"/>
    <w:rsid w:val="503E769A"/>
    <w:rsid w:val="509C63C7"/>
    <w:rsid w:val="50C86233"/>
    <w:rsid w:val="50E35A2B"/>
    <w:rsid w:val="50E765BA"/>
    <w:rsid w:val="51121211"/>
    <w:rsid w:val="51331098"/>
    <w:rsid w:val="514B3E1E"/>
    <w:rsid w:val="51A451BA"/>
    <w:rsid w:val="51EB3AFC"/>
    <w:rsid w:val="52253C9A"/>
    <w:rsid w:val="53245F14"/>
    <w:rsid w:val="53426A39"/>
    <w:rsid w:val="53B76D66"/>
    <w:rsid w:val="53C05259"/>
    <w:rsid w:val="53CD24C2"/>
    <w:rsid w:val="542E3E8C"/>
    <w:rsid w:val="54895C85"/>
    <w:rsid w:val="54C379BF"/>
    <w:rsid w:val="55825B4B"/>
    <w:rsid w:val="55BB5EDC"/>
    <w:rsid w:val="55D41A28"/>
    <w:rsid w:val="563919B1"/>
    <w:rsid w:val="56F46C4E"/>
    <w:rsid w:val="57275A20"/>
    <w:rsid w:val="57984190"/>
    <w:rsid w:val="583B4087"/>
    <w:rsid w:val="588A04C2"/>
    <w:rsid w:val="58985638"/>
    <w:rsid w:val="597A09AF"/>
    <w:rsid w:val="59F26538"/>
    <w:rsid w:val="5A362E4D"/>
    <w:rsid w:val="5A5B62C8"/>
    <w:rsid w:val="5A735BD2"/>
    <w:rsid w:val="5A8755A4"/>
    <w:rsid w:val="5B135956"/>
    <w:rsid w:val="5B91692E"/>
    <w:rsid w:val="5BA86ABC"/>
    <w:rsid w:val="5BB96A9F"/>
    <w:rsid w:val="5BD332DE"/>
    <w:rsid w:val="5C2753E3"/>
    <w:rsid w:val="5CFD66AF"/>
    <w:rsid w:val="5D6179F5"/>
    <w:rsid w:val="5DA253A0"/>
    <w:rsid w:val="5EBE1BCF"/>
    <w:rsid w:val="5F0751BF"/>
    <w:rsid w:val="5F2E2687"/>
    <w:rsid w:val="5F2F459B"/>
    <w:rsid w:val="601F6401"/>
    <w:rsid w:val="607A40A1"/>
    <w:rsid w:val="610024EC"/>
    <w:rsid w:val="610025DC"/>
    <w:rsid w:val="614F3C56"/>
    <w:rsid w:val="62E303D6"/>
    <w:rsid w:val="630C52BA"/>
    <w:rsid w:val="64E851AE"/>
    <w:rsid w:val="65C73108"/>
    <w:rsid w:val="669B1154"/>
    <w:rsid w:val="66D74900"/>
    <w:rsid w:val="66EE486B"/>
    <w:rsid w:val="671E0C83"/>
    <w:rsid w:val="685E2616"/>
    <w:rsid w:val="68857F76"/>
    <w:rsid w:val="68B14BCC"/>
    <w:rsid w:val="690A55FB"/>
    <w:rsid w:val="692076F4"/>
    <w:rsid w:val="69263C28"/>
    <w:rsid w:val="69BC0A91"/>
    <w:rsid w:val="6A1F0B81"/>
    <w:rsid w:val="6A381363"/>
    <w:rsid w:val="6A5156BC"/>
    <w:rsid w:val="6AA91772"/>
    <w:rsid w:val="6AB409FD"/>
    <w:rsid w:val="6B0E60F4"/>
    <w:rsid w:val="6B6B7562"/>
    <w:rsid w:val="6BEA3247"/>
    <w:rsid w:val="6BFD361E"/>
    <w:rsid w:val="6D652ECF"/>
    <w:rsid w:val="6E4B7994"/>
    <w:rsid w:val="6E9A18FB"/>
    <w:rsid w:val="6ECF636F"/>
    <w:rsid w:val="6EDC7EBA"/>
    <w:rsid w:val="6EE34836"/>
    <w:rsid w:val="6FA65B97"/>
    <w:rsid w:val="70380151"/>
    <w:rsid w:val="70A262ED"/>
    <w:rsid w:val="70EE71C6"/>
    <w:rsid w:val="70FF3D63"/>
    <w:rsid w:val="7235631C"/>
    <w:rsid w:val="72666744"/>
    <w:rsid w:val="72834F56"/>
    <w:rsid w:val="728B32BB"/>
    <w:rsid w:val="72907540"/>
    <w:rsid w:val="72EF4650"/>
    <w:rsid w:val="73C3378A"/>
    <w:rsid w:val="73C436ED"/>
    <w:rsid w:val="74365DC0"/>
    <w:rsid w:val="74C96495"/>
    <w:rsid w:val="74CF5C9D"/>
    <w:rsid w:val="74D70F15"/>
    <w:rsid w:val="753B4C72"/>
    <w:rsid w:val="755B5F89"/>
    <w:rsid w:val="756D7BA2"/>
    <w:rsid w:val="759C462A"/>
    <w:rsid w:val="75CB0D33"/>
    <w:rsid w:val="75D4795E"/>
    <w:rsid w:val="76AC090B"/>
    <w:rsid w:val="787B5FFB"/>
    <w:rsid w:val="78A00D1B"/>
    <w:rsid w:val="78A978BC"/>
    <w:rsid w:val="78CB2651"/>
    <w:rsid w:val="794E6000"/>
    <w:rsid w:val="79676579"/>
    <w:rsid w:val="79870D9A"/>
    <w:rsid w:val="79AD43C4"/>
    <w:rsid w:val="79DF7670"/>
    <w:rsid w:val="7A0A576F"/>
    <w:rsid w:val="7ADE4043"/>
    <w:rsid w:val="7AE0471F"/>
    <w:rsid w:val="7B212AB0"/>
    <w:rsid w:val="7B9B3925"/>
    <w:rsid w:val="7BA619AB"/>
    <w:rsid w:val="7BAA1EF8"/>
    <w:rsid w:val="7BFC78F4"/>
    <w:rsid w:val="7C0B122A"/>
    <w:rsid w:val="7C351A2B"/>
    <w:rsid w:val="7D0762C7"/>
    <w:rsid w:val="7D3D3486"/>
    <w:rsid w:val="7DE6351B"/>
    <w:rsid w:val="7E2F0E9B"/>
    <w:rsid w:val="7EC81EA2"/>
    <w:rsid w:val="7EE556F7"/>
    <w:rsid w:val="7F500444"/>
    <w:rsid w:val="7F612718"/>
    <w:rsid w:val="7FF014C5"/>
    <w:rsid w:val="BD7FD6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semiHidden/>
    <w:unhideWhenUsed/>
    <w:qFormat/>
    <w:uiPriority w:val="0"/>
    <w:pPr>
      <w:jc w:val="left"/>
    </w:pPr>
  </w:style>
  <w:style w:type="paragraph" w:styleId="4">
    <w:name w:val="Body Text"/>
    <w:basedOn w:val="1"/>
    <w:next w:val="5"/>
    <w:qFormat/>
    <w:uiPriority w:val="99"/>
    <w:pPr>
      <w:widowControl w:val="0"/>
      <w:jc w:val="center"/>
    </w:pPr>
    <w:rPr>
      <w:rFonts w:ascii="华文中宋" w:hAnsi="Times New Roman" w:eastAsia="华文中宋" w:cs="Times New Roman"/>
      <w:b/>
      <w:bCs/>
      <w:kern w:val="2"/>
      <w:sz w:val="44"/>
      <w:szCs w:val="36"/>
      <w:lang w:val="en-US" w:eastAsia="zh-CN" w:bidi="ar-SA"/>
    </w:rPr>
  </w:style>
  <w:style w:type="paragraph" w:styleId="5">
    <w:name w:val="Body Text 2"/>
    <w:basedOn w:val="1"/>
    <w:next w:val="4"/>
    <w:qFormat/>
    <w:uiPriority w:val="0"/>
    <w:pPr>
      <w:adjustRightInd w:val="0"/>
      <w:snapToGrid w:val="0"/>
      <w:spacing w:line="480" w:lineRule="atLeast"/>
    </w:pPr>
    <w:rPr>
      <w:rFonts w:ascii="宋体" w:hAnsi="宋体" w:eastAsia="宋体" w:cs="Times New Roman"/>
      <w:sz w:val="28"/>
    </w:rPr>
  </w:style>
  <w:style w:type="paragraph" w:styleId="6">
    <w:name w:val="Body Text Indent"/>
    <w:basedOn w:val="1"/>
    <w:qFormat/>
    <w:uiPriority w:val="0"/>
    <w:pPr>
      <w:spacing w:after="120"/>
      <w:ind w:left="420" w:leftChars="200"/>
    </w:pPr>
    <w:rPr>
      <w:rFonts w:ascii="Times New Roman" w:hAnsi="Times New Roman" w:eastAsia="宋体"/>
    </w:rPr>
  </w:style>
  <w:style w:type="paragraph" w:styleId="7">
    <w:name w:val="Balloon Text"/>
    <w:basedOn w:val="1"/>
    <w:link w:val="4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First Indent"/>
    <w:basedOn w:val="4"/>
    <w:next w:val="11"/>
    <w:qFormat/>
    <w:uiPriority w:val="0"/>
    <w:pPr>
      <w:widowControl w:val="0"/>
      <w:ind w:firstLine="420" w:firstLineChars="100"/>
      <w:jc w:val="center"/>
    </w:pPr>
    <w:rPr>
      <w:rFonts w:ascii="华文中宋" w:hAnsi="Times New Roman" w:eastAsia="华文中宋" w:cs="Times New Roman"/>
      <w:kern w:val="2"/>
      <w:sz w:val="44"/>
      <w:szCs w:val="36"/>
      <w:lang w:val="en-US" w:eastAsia="zh-CN" w:bidi="ar-SA"/>
    </w:rPr>
  </w:style>
  <w:style w:type="paragraph" w:styleId="11">
    <w:name w:val="Body Text First Indent 2"/>
    <w:basedOn w:val="6"/>
    <w:next w:val="10"/>
    <w:qFormat/>
    <w:uiPriority w:val="0"/>
    <w:pPr>
      <w:ind w:firstLine="420" w:firstLineChars="200"/>
    </w:pPr>
  </w:style>
  <w:style w:type="character" w:styleId="14">
    <w:name w:val="Strong"/>
    <w:basedOn w:val="13"/>
    <w:qFormat/>
    <w:uiPriority w:val="0"/>
    <w:rPr>
      <w:b/>
      <w:bCs/>
    </w:rPr>
  </w:style>
  <w:style w:type="character" w:styleId="15">
    <w:name w:val="page number"/>
    <w:basedOn w:val="13"/>
    <w:semiHidden/>
    <w:unhideWhenUsed/>
    <w:qFormat/>
    <w:uiPriority w:val="0"/>
    <w:rPr>
      <w:rFonts w:ascii="宋体" w:hAnsi="宋体" w:eastAsia="宋体"/>
      <w:sz w:val="28"/>
    </w:rPr>
  </w:style>
  <w:style w:type="character" w:styleId="16">
    <w:name w:val="FollowedHyperlink"/>
    <w:basedOn w:val="13"/>
    <w:semiHidden/>
    <w:unhideWhenUsed/>
    <w:qFormat/>
    <w:uiPriority w:val="99"/>
    <w:rPr>
      <w:color w:val="954F72" w:themeColor="followedHyperlink"/>
      <w:u w:val="single"/>
      <w14:textFill>
        <w14:solidFill>
          <w14:schemeClr w14:val="folHlink"/>
        </w14:solidFill>
      </w14:textFill>
    </w:rPr>
  </w:style>
  <w:style w:type="character" w:styleId="17">
    <w:name w:val="Hyperlink"/>
    <w:basedOn w:val="13"/>
    <w:unhideWhenUsed/>
    <w:qFormat/>
    <w:uiPriority w:val="99"/>
    <w:rPr>
      <w:color w:val="0000FF"/>
      <w:u w:val="single"/>
    </w:rPr>
  </w:style>
  <w:style w:type="paragraph" w:customStyle="1" w:styleId="18">
    <w:name w:val="Char Char Char Char Char Char"/>
    <w:basedOn w:val="1"/>
    <w:qFormat/>
    <w:uiPriority w:val="0"/>
    <w:pPr>
      <w:widowControl/>
      <w:spacing w:after="160" w:line="240" w:lineRule="exact"/>
      <w:jc w:val="left"/>
    </w:pPr>
    <w:rPr>
      <w:szCs w:val="20"/>
    </w:rPr>
  </w:style>
  <w:style w:type="paragraph" w:customStyle="1" w:styleId="19">
    <w:name w:val="p0"/>
    <w:basedOn w:val="1"/>
    <w:qFormat/>
    <w:uiPriority w:val="0"/>
    <w:pPr>
      <w:widowControl/>
    </w:pPr>
    <w:rPr>
      <w:kern w:val="0"/>
      <w:szCs w:val="21"/>
    </w:rPr>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24"/>
    </w:rPr>
  </w:style>
  <w:style w:type="paragraph" w:customStyle="1" w:styleId="2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4">
    <w:name w:val="xl83"/>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xl8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xl85"/>
    <w:basedOn w:val="1"/>
    <w:qFormat/>
    <w:uiPriority w:val="0"/>
    <w:pPr>
      <w:widowControl/>
      <w:spacing w:before="100" w:beforeAutospacing="1" w:after="100" w:afterAutospacing="1"/>
      <w:jc w:val="right"/>
    </w:pPr>
    <w:rPr>
      <w:rFonts w:ascii="宋体" w:hAnsi="宋体" w:cs="宋体"/>
      <w:kern w:val="0"/>
      <w:sz w:val="24"/>
    </w:rPr>
  </w:style>
  <w:style w:type="paragraph" w:customStyle="1" w:styleId="2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3">
    <w:name w:val="xl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4">
    <w:name w:val="xl9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5">
    <w:name w:val="xl9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6">
    <w:name w:val="xl95"/>
    <w:basedOn w:val="1"/>
    <w:qFormat/>
    <w:uiPriority w:val="0"/>
    <w:pPr>
      <w:widowControl/>
      <w:pBdr>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7">
    <w:name w:val="xl96"/>
    <w:basedOn w:val="1"/>
    <w:qFormat/>
    <w:uiPriority w:val="0"/>
    <w:pPr>
      <w:widowControl/>
      <w:pBdr>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8">
    <w:name w:val="xl97"/>
    <w:basedOn w:val="1"/>
    <w:qFormat/>
    <w:uiPriority w:val="0"/>
    <w:pPr>
      <w:widowControl/>
      <w:pBdr>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9">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24"/>
    </w:rPr>
  </w:style>
  <w:style w:type="paragraph" w:customStyle="1" w:styleId="40">
    <w:name w:val="xl9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1">
    <w:name w:val="xl10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2">
    <w:name w:val="xl10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character" w:customStyle="1" w:styleId="43">
    <w:name w:val="批注框文本 字符"/>
    <w:basedOn w:val="13"/>
    <w:link w:val="7"/>
    <w:qFormat/>
    <w:uiPriority w:val="0"/>
    <w:rPr>
      <w:rFonts w:ascii="Times New Roman" w:hAnsi="Times New Roman"/>
      <w:kern w:val="2"/>
      <w:sz w:val="18"/>
      <w:szCs w:val="18"/>
    </w:rPr>
  </w:style>
  <w:style w:type="character" w:customStyle="1" w:styleId="44">
    <w:name w:val="font0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6009</Words>
  <Characters>6643</Characters>
  <Lines>171</Lines>
  <Paragraphs>48</Paragraphs>
  <TotalTime>35</TotalTime>
  <ScaleCrop>false</ScaleCrop>
  <LinksUpToDate>false</LinksUpToDate>
  <CharactersWithSpaces>6654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2020-05-29T08:40:00Z</dcterms:created>
  <dc:creator>起个名字真难</dc:creator>
  <cp:lastModifiedBy>悠逸诗</cp:lastModifiedBy>
  <cp:lastPrinted>2023-05-25T09:13:00Z</cp:lastPrinted>
  <dcterms:modified xsi:type="dcterms:W3CDTF">2023-11-30T16:43:14Z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1A70154391294ACFBB73D7D4C7B6517B</vt:lpwstr>
  </property>
  <property fmtid="{D5CDD505-2E9C-101B-9397-08002B2CF9AE}" pid="4" name="commondata">
    <vt:lpwstr>eyJoZGlkIjoiZTIxOTZiNmQyNjk4NmEyYmE2OThjZTI1YmU4NTlkN2IifQ==</vt:lpwstr>
  </property>
</Properties>
</file>