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大标宋简体" w:hAnsi="方正大标宋简体" w:eastAsia="方正大标宋简体" w:cs="方正大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年财政预算编报说明</w:t>
      </w:r>
      <w:bookmarkEnd w:id="0"/>
    </w:p>
    <w:p>
      <w:pPr>
        <w:spacing w:line="580" w:lineRule="exact"/>
        <w:rPr>
          <w:rFonts w:ascii="仿宋" w:hAnsi="仿宋" w:eastAsia="仿宋_GB2312"/>
          <w:color w:val="000000" w:themeColor="text1"/>
          <w:sz w:val="48"/>
          <w:szCs w:val="48"/>
          <w:highlight w:val="yellow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一、一般公共预算收支拟安排情况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（一）收入拟安排情况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1、一般公共预算收入拟安排情况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年，全区一般公共预算收入拟安排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130000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数增长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6.5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%。其中：税收收入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91000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万元，非税收入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39000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2、上级补助收入拟安排情况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年，一般公共预算收入中，上级补助收入拟安排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49372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万元。其中：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（1）返还性收入拟安排情况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年，全区返还性收入拟安排6372万元。其中：“增值税税收返还收入”2155万元、“增值税五五分享税收返还收入”3365万元、“所得税基数返还收入”447万元、“成品油税费改革返还收入”405万元。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（2）一般性转移支付收入拟安排情况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年，全区一般性转移支付收入拟安排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40000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万元。其中：“均衡性转移支付收入”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6028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万元、“县级基本财力保障机制奖补资金收入”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3565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万元、“结算补助收入”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3168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万元、“重点生态功能区转移支付收入”133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万元、“固定数额补助收入”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3738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万元、“巩固脱贫攻坚成果衔接乡村振兴转移支付收入”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1040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万元、“公共安全共同财政转移支付收入”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万元、“教育共同财政事权转移支付收入”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3349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万元、“社会保障和就业共同财政事权转移支付收入”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1741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万元、“医疗卫生共同财政事权”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“农林水共同财政事权转移支付收入”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675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（3）专项转移支付收入拟安排情况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年，全区专项转移支付收入年初预算拟安排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3000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用于污染防治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等支出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3、一般债券转贷收入拟安排情况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拟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新增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一般债券转贷收入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5000万元，用于债券项目支出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0"/>
        <w:textAlignment w:val="auto"/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4、上年结转拟安排情况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上年按照收付实现制结转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4586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万元，拟按照原使用用途安排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4586万元纳入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年预算支出。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5、调入资金拟安排情况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年，拟从政府性基金预算调入一般公共预算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52809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万元，用于平衡一般公共预算支出。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0"/>
        <w:textAlignment w:val="auto"/>
        <w:rPr>
          <w:rFonts w:hint="eastAsia" w:ascii="仿宋_GB2312" w:hAnsi="仿宋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动用预算稳定调节基金拟安排情况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2024年，拟动用预算稳定调节基金2462万元，用于平衡一般公共预算支出。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（二）支出拟安排情况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1、一般公共预算支出拟安排情况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（1）全区一般公共预算支出拟安排情况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  <w:t>年全区一般公共预算本级支出拟安排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218986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_GB2312"/>
          <w:b w:val="0"/>
          <w:bCs w:val="0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按功能分类的主要支出拟安排情况是：</w:t>
      </w:r>
      <w:r>
        <w:rPr>
          <w:rFonts w:hint="eastAsia" w:ascii="仿宋_GB2312" w:hAnsi="仿宋" w:eastAsia="仿宋_GB2312" w:cs="仿宋_GB2312"/>
          <w:b w:val="0"/>
          <w:bCs w:val="0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般公共服务支出45437万元、文化旅游体育与传媒支出2906万元、教育支出45549万元、科学技术支出2021万元、社会保障和就业支出23067万元、卫生健康支出16370万元、城乡社区支出32283万元、农林水支出15991万元、自然资源海洋气象等支出4729万元、住房保障支出7309万元、灾害防治及应急管理支出2458万元、交通运输支出3608万元、预备费4000万元、债券付息支出2384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_GB2312"/>
          <w:b w:val="0"/>
          <w:bCs w:val="0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按经济分类的主要支出拟安排情况是：</w:t>
      </w:r>
      <w:r>
        <w:rPr>
          <w:rFonts w:hint="eastAsia" w:ascii="仿宋_GB2312" w:hAnsi="仿宋" w:eastAsia="仿宋_GB2312" w:cs="仿宋_GB2312"/>
          <w:b w:val="0"/>
          <w:bCs w:val="0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机关工资福利支出36073 万元、机关商品和服务支出38210 万元、机关资本性支出16014 万元、对事业单位经常性补助63477 万元、对个人和家庭的补助支出16762 万元、其他支出</w:t>
      </w:r>
      <w:r>
        <w:rPr>
          <w:rFonts w:hint="eastAsia" w:ascii="仿宋_GB2312" w:hAnsi="仿宋" w:eastAsia="仿宋_GB2312" w:cs="仿宋_GB2312"/>
          <w:b w:val="0"/>
          <w:bCs w:val="0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40003</w:t>
      </w:r>
      <w:r>
        <w:rPr>
          <w:rFonts w:hint="eastAsia" w:ascii="仿宋_GB2312" w:hAnsi="仿宋" w:eastAsia="仿宋_GB2312" w:cs="仿宋_GB2312"/>
          <w:b w:val="0"/>
          <w:bCs w:val="0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万元、预备费及预留4000万元、债务利息及费用支出2384 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上解上级支出拟安排情况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  <w:t>年，上解上级支出拟安排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24909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  <w:t>万元。其中：体制结算上解5344万元，专项上解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19565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b/>
          <w:bCs/>
          <w:color w:val="auto"/>
          <w:kern w:val="10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一般债务还本支出拟安排情况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年，拟安排一般债券还本支出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334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仿宋_GB2312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二、政府性基金预算收支拟安排情况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楷体" w:hAnsi="楷体" w:eastAsia="楷体" w:cs="楷体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（一）收入拟安排情况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 w:cs="仿宋_GB2312"/>
          <w:b/>
          <w:bCs w:val="0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b/>
          <w:bCs w:val="0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1、政府性基金预算收入拟安排情况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年，政府性基金收入预算拟安排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00000万元。较去年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数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增长537.2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2、上级补助收入拟安排情况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  <w:t>年，上级提前下达政府性基金转移支付收入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2389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  <w:t>万元。其中：移民补助支出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2354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  <w:t>万元，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eastAsia="zh-CN"/>
        </w:rPr>
        <w:t>残疾人事业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  <w:t>支出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3、专项债券转贷收入拟安排情况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拟新增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专项债券转贷收入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100000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万元，主要用于产业园项目、智慧停车场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建设项目、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西部调水支线管网等专项债券项目支出。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上年结转拟安排情况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上年按照收付实现制结转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14404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万元，拟按照原使用用途安排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14404万元纳入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年预算支出。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其他收入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年，中小银行专项债利息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5536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万元交入我区，由我区代缴专项债券利息。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（二）支出拟安排情况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1、政府性基金预算支出拟安排情况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default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年，全区政府性基金预算支出拟安排258313万元。其中：“城乡社区支出—国有土地使用权出让收入安排的支出”73278万元，主要用于土地征收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成本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；“债务付息支出”20434万元，主要用于支付到期专项债券利息及发行手续费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拟新增专项债券转贷收入安排支出100000万元。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2、上解上级支出拟安排情况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年，上解上级支出拟安排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4471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万元，主要用于上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解上级土地储备利息等支出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3、调出资金拟安排情况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年，拟从政府性基金预算调出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52809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万元，用于平衡全区一般公共预算支出。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专项债务还本支出拟安排情况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年，拟安排专项债券还本支出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1200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仿宋_GB2312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年，全区需用自有财力偿还到期债务本金为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1534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万元，其中：一般债务本金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334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万元，专项债务本金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1200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年，全区需要支付债务利息支出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22818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万元。其中：一般债务利息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2384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万元，专项债务利息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20434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万元（含中小银行专项债券利息及手续费5712万元）。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四、“三公”经费预算拟安排情况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年，全区预算拟安排“三公”经费支出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676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万元，较上年预算数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37.9%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增长的主要原因系加大招商引资力度接待费用预算增加，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其中：因公出国（境）费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13万元、公务用车购置及运行费452万元、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“公务接待费”预算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五、社会保险基金预算拟安排情况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年城乡居民养老保险收入预算拟安排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9433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万元，社保基金支出拟安排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7064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万元，当年社保基金预算结余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2369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六、重大政策和重点项目绩效情况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预算绩效管理，健全预算绩效管理机制，建立全方位、全过程、全覆盖的预算绩效管理体系，加快推进配套制度和实施细则建设。严格绩效目标管理，加强绩效运行监控，提升绩效评价质效。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部门和单位整体支出绩效评价，提升部门和单位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绩效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，加大重点项目和整体项目绩效监管进一步提升资金使用效益。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区教育局校园安保经费、</w:t>
      </w:r>
      <w:r>
        <w:rPr>
          <w:rStyle w:val="46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区</w:t>
      </w:r>
      <w:r>
        <w:rPr>
          <w:rStyle w:val="45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卫健委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基本公共卫生经费、区医保局城乡居民基本医疗保险区级配套、区农业局高标准农田建设项目、区水利局洪河龙安区防洪整治工程项目、区教育局区直幼儿园建设项目、彰武街道养老服务中心建设项目、区环保局祥云街与中州路交叉口西北角土壤和地下水污染状况调查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龙泉镇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西洪沟村文化体验馆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项目共9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个项目开展重点绩效评价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，对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区商务局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1个部门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整体绩效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，对2023年度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区人力资源和社会保障局“人人持证，技能河南”专项资金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1个项目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开展绩效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监控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，各单位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绩效评价结果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2022年区教育局校园安保经费项目，绩效评价得分82.2分，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绩效评级为“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良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区卫健委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基本公共卫生经费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项目，绩效评价得分92.4分，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绩效评级为“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优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区医保局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城乡居民基本医疗保险区级配套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项目，绩效评价得分93分，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绩效评级为“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优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区农业农村局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高标准农田建设项目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绩效评价得分93.3分，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绩效评级为“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优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区水利局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洪河龙安区防洪整治工程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项目，绩效评价得分90.3分，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绩效评级为“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优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区教育局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区直幼儿园建设项目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绩效评价得分80.7分，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绩效评级为“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良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彰武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街道养老服务中心建设项目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绩效评价得分81.6分，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绩效评级为“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良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区环保局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祥云街与中州路交叉口西北角土壤和地下水污染状况调查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项目，绩效评价得分88.4分，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绩效评级为“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良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2023年区人力资源和社会保障局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人人持证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技能河南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专项资金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监控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项目，绩效评价得分96.5分，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绩效评级为“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优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10、2022年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区商务局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整体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项目，绩效评价得分92分，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绩效评级为“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优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2022年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龙泉镇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西洪沟村文化体验馆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，绩效评价得分82.7分，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绩效评级为“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良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七、财政扶贫资金预算拟安排情况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年年初预算拟安排乡村振兴衔接资金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1515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万元，用于乡村振兴和巩固脱贫成果等支出。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八、其他需要说明的情况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年，我区没有编制“国有资本经营预算”收支预算，原因是我区没有大中型国有企业。</w:t>
      </w:r>
    </w:p>
    <w:p>
      <w:pPr>
        <w:pStyle w:val="2"/>
        <w:spacing w:line="40" w:lineRule="exact"/>
        <w:ind w:firstLine="0" w:firstLineChars="0"/>
        <w:jc w:val="both"/>
        <w:rPr>
          <w:rFonts w:hint="eastAsia" w:ascii="微软雅黑" w:hAnsi="宋体" w:eastAsia="微软雅黑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</w:pPr>
    </w:p>
    <w:p>
      <w:pPr>
        <w:pStyle w:val="2"/>
        <w:spacing w:line="40" w:lineRule="exact"/>
        <w:ind w:firstLine="0" w:firstLineChars="0"/>
        <w:jc w:val="both"/>
        <w:rPr>
          <w:rFonts w:hint="eastAsia" w:ascii="微软雅黑" w:hAnsi="宋体" w:eastAsia="微软雅黑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701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AFACE6-BFA2-46DE-A992-1711EF50CE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B2C899A-7C62-48C5-A2A6-B5E1C125708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C0F30D2-5E45-4901-8FB0-8FEBCCF902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FF01F6F-C6ED-4EC5-8C00-A01F523DDFA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BE27DB70-A6FE-4644-B159-379B0BBFAE8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3310B25C-FA96-4A76-8B5F-3095B307CD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 PAGE </w:instrText>
    </w:r>
    <w:r>
      <w:rPr>
        <w:rStyle w:val="16"/>
      </w:rPr>
      <w:fldChar w:fldCharType="separate"/>
    </w:r>
    <w:r>
      <w:rPr>
        <w:rStyle w:val="16"/>
      </w:rPr>
      <w:t>- 1 -</w:t>
    </w:r>
    <w:r>
      <w:rPr>
        <w:rStyle w:val="16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4434E3"/>
    <w:multiLevelType w:val="singleLevel"/>
    <w:tmpl w:val="BD4434E3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jQ1NGY3ODFkOGI5MGQxYWFiN2NiMmY1NjkyNWMifQ=="/>
  </w:docVars>
  <w:rsids>
    <w:rsidRoot w:val="5EBE1BCF"/>
    <w:rsid w:val="00000591"/>
    <w:rsid w:val="00001030"/>
    <w:rsid w:val="000266BF"/>
    <w:rsid w:val="000434F1"/>
    <w:rsid w:val="00061671"/>
    <w:rsid w:val="00064AA6"/>
    <w:rsid w:val="000710DC"/>
    <w:rsid w:val="0008420F"/>
    <w:rsid w:val="00086D96"/>
    <w:rsid w:val="00095080"/>
    <w:rsid w:val="000A1250"/>
    <w:rsid w:val="000A5AFF"/>
    <w:rsid w:val="000D3B4A"/>
    <w:rsid w:val="000D5B1C"/>
    <w:rsid w:val="000D5CE0"/>
    <w:rsid w:val="000E31AC"/>
    <w:rsid w:val="00103971"/>
    <w:rsid w:val="00103D51"/>
    <w:rsid w:val="001069E1"/>
    <w:rsid w:val="00110D0E"/>
    <w:rsid w:val="001353A4"/>
    <w:rsid w:val="001362E3"/>
    <w:rsid w:val="001374BA"/>
    <w:rsid w:val="00141C55"/>
    <w:rsid w:val="001423F1"/>
    <w:rsid w:val="0014394F"/>
    <w:rsid w:val="00154F1E"/>
    <w:rsid w:val="00157FEE"/>
    <w:rsid w:val="001A1C04"/>
    <w:rsid w:val="001A3112"/>
    <w:rsid w:val="001A4C9A"/>
    <w:rsid w:val="001A4C9E"/>
    <w:rsid w:val="001A740E"/>
    <w:rsid w:val="001B2188"/>
    <w:rsid w:val="001C08A6"/>
    <w:rsid w:val="001C0BA0"/>
    <w:rsid w:val="001C4E8B"/>
    <w:rsid w:val="001D413A"/>
    <w:rsid w:val="001D5DD4"/>
    <w:rsid w:val="001F269C"/>
    <w:rsid w:val="00202210"/>
    <w:rsid w:val="0022356F"/>
    <w:rsid w:val="00235F4E"/>
    <w:rsid w:val="00250A6C"/>
    <w:rsid w:val="00266AD5"/>
    <w:rsid w:val="00270A8E"/>
    <w:rsid w:val="002A7E10"/>
    <w:rsid w:val="002B58D3"/>
    <w:rsid w:val="002C5311"/>
    <w:rsid w:val="002D4B86"/>
    <w:rsid w:val="002E25CA"/>
    <w:rsid w:val="002F4B6E"/>
    <w:rsid w:val="003305C8"/>
    <w:rsid w:val="00343830"/>
    <w:rsid w:val="00351FFE"/>
    <w:rsid w:val="003607F5"/>
    <w:rsid w:val="00376225"/>
    <w:rsid w:val="003A2CCF"/>
    <w:rsid w:val="003B0363"/>
    <w:rsid w:val="003D18FE"/>
    <w:rsid w:val="003E130B"/>
    <w:rsid w:val="003E49AE"/>
    <w:rsid w:val="003F3B04"/>
    <w:rsid w:val="00401471"/>
    <w:rsid w:val="00415C9F"/>
    <w:rsid w:val="00435430"/>
    <w:rsid w:val="00444EF2"/>
    <w:rsid w:val="004538CE"/>
    <w:rsid w:val="00472E6E"/>
    <w:rsid w:val="004810BB"/>
    <w:rsid w:val="004874C3"/>
    <w:rsid w:val="004A0D9B"/>
    <w:rsid w:val="004A17D4"/>
    <w:rsid w:val="004A73B8"/>
    <w:rsid w:val="004C2DBA"/>
    <w:rsid w:val="004E04E8"/>
    <w:rsid w:val="004E66E9"/>
    <w:rsid w:val="004E6CCA"/>
    <w:rsid w:val="004F54C3"/>
    <w:rsid w:val="005137BD"/>
    <w:rsid w:val="005544F9"/>
    <w:rsid w:val="00571E71"/>
    <w:rsid w:val="0059200D"/>
    <w:rsid w:val="005A621C"/>
    <w:rsid w:val="005B3668"/>
    <w:rsid w:val="005D1E37"/>
    <w:rsid w:val="00616EF3"/>
    <w:rsid w:val="00645440"/>
    <w:rsid w:val="006460BA"/>
    <w:rsid w:val="006775F9"/>
    <w:rsid w:val="006864CD"/>
    <w:rsid w:val="00691CBD"/>
    <w:rsid w:val="006932F3"/>
    <w:rsid w:val="006B2422"/>
    <w:rsid w:val="006B5D76"/>
    <w:rsid w:val="006D115B"/>
    <w:rsid w:val="006D324F"/>
    <w:rsid w:val="006F00B6"/>
    <w:rsid w:val="007125B2"/>
    <w:rsid w:val="00712D92"/>
    <w:rsid w:val="00721A2B"/>
    <w:rsid w:val="007313BC"/>
    <w:rsid w:val="00741963"/>
    <w:rsid w:val="007447DB"/>
    <w:rsid w:val="00751FA9"/>
    <w:rsid w:val="007608BE"/>
    <w:rsid w:val="00760DB9"/>
    <w:rsid w:val="007903B1"/>
    <w:rsid w:val="00796A5B"/>
    <w:rsid w:val="007978A8"/>
    <w:rsid w:val="007B0BFB"/>
    <w:rsid w:val="007C530C"/>
    <w:rsid w:val="007C5A6A"/>
    <w:rsid w:val="007E3B58"/>
    <w:rsid w:val="008010D8"/>
    <w:rsid w:val="0081045F"/>
    <w:rsid w:val="00813986"/>
    <w:rsid w:val="00813E6A"/>
    <w:rsid w:val="00820544"/>
    <w:rsid w:val="008246C2"/>
    <w:rsid w:val="00847756"/>
    <w:rsid w:val="00851174"/>
    <w:rsid w:val="008575AC"/>
    <w:rsid w:val="0086778D"/>
    <w:rsid w:val="00867F1B"/>
    <w:rsid w:val="00894B07"/>
    <w:rsid w:val="00896A60"/>
    <w:rsid w:val="008B4E73"/>
    <w:rsid w:val="008C0CD6"/>
    <w:rsid w:val="008D260E"/>
    <w:rsid w:val="008E08B7"/>
    <w:rsid w:val="008F2E11"/>
    <w:rsid w:val="009207E1"/>
    <w:rsid w:val="00922CC1"/>
    <w:rsid w:val="00927D36"/>
    <w:rsid w:val="009322C0"/>
    <w:rsid w:val="00963038"/>
    <w:rsid w:val="009757D5"/>
    <w:rsid w:val="00982625"/>
    <w:rsid w:val="00986ACD"/>
    <w:rsid w:val="00996A7C"/>
    <w:rsid w:val="009A1EB8"/>
    <w:rsid w:val="009C69DA"/>
    <w:rsid w:val="00A05722"/>
    <w:rsid w:val="00A14850"/>
    <w:rsid w:val="00A20A12"/>
    <w:rsid w:val="00A308FC"/>
    <w:rsid w:val="00A43B30"/>
    <w:rsid w:val="00A85227"/>
    <w:rsid w:val="00A921A8"/>
    <w:rsid w:val="00AC0538"/>
    <w:rsid w:val="00AC4777"/>
    <w:rsid w:val="00AD1572"/>
    <w:rsid w:val="00AE3C63"/>
    <w:rsid w:val="00AE7952"/>
    <w:rsid w:val="00AF3867"/>
    <w:rsid w:val="00AF7EB7"/>
    <w:rsid w:val="00B006B5"/>
    <w:rsid w:val="00B129E2"/>
    <w:rsid w:val="00B139A1"/>
    <w:rsid w:val="00B26B16"/>
    <w:rsid w:val="00B33DD0"/>
    <w:rsid w:val="00B44A2A"/>
    <w:rsid w:val="00B72BB7"/>
    <w:rsid w:val="00B84B28"/>
    <w:rsid w:val="00BA1214"/>
    <w:rsid w:val="00BA274C"/>
    <w:rsid w:val="00BA6FFB"/>
    <w:rsid w:val="00BC105F"/>
    <w:rsid w:val="00BD5E51"/>
    <w:rsid w:val="00BF7033"/>
    <w:rsid w:val="00C01DE4"/>
    <w:rsid w:val="00C11A3C"/>
    <w:rsid w:val="00C1287F"/>
    <w:rsid w:val="00C173A2"/>
    <w:rsid w:val="00C205DD"/>
    <w:rsid w:val="00C2729C"/>
    <w:rsid w:val="00C372F8"/>
    <w:rsid w:val="00C373EA"/>
    <w:rsid w:val="00C61B98"/>
    <w:rsid w:val="00C73D59"/>
    <w:rsid w:val="00C875D5"/>
    <w:rsid w:val="00C94135"/>
    <w:rsid w:val="00CA1997"/>
    <w:rsid w:val="00CA4645"/>
    <w:rsid w:val="00CC7446"/>
    <w:rsid w:val="00CE3E8E"/>
    <w:rsid w:val="00D03806"/>
    <w:rsid w:val="00D14A54"/>
    <w:rsid w:val="00D14CE7"/>
    <w:rsid w:val="00D33B86"/>
    <w:rsid w:val="00D5194B"/>
    <w:rsid w:val="00D72821"/>
    <w:rsid w:val="00DC43C0"/>
    <w:rsid w:val="00DD57C1"/>
    <w:rsid w:val="00DF4DAE"/>
    <w:rsid w:val="00E13A6F"/>
    <w:rsid w:val="00E22865"/>
    <w:rsid w:val="00E33D34"/>
    <w:rsid w:val="00E42383"/>
    <w:rsid w:val="00E5732E"/>
    <w:rsid w:val="00E643F1"/>
    <w:rsid w:val="00E81325"/>
    <w:rsid w:val="00E84392"/>
    <w:rsid w:val="00E967DC"/>
    <w:rsid w:val="00EC5A4F"/>
    <w:rsid w:val="00F21331"/>
    <w:rsid w:val="00F25E85"/>
    <w:rsid w:val="00F266B8"/>
    <w:rsid w:val="00F54E88"/>
    <w:rsid w:val="00F571DB"/>
    <w:rsid w:val="00F7160E"/>
    <w:rsid w:val="00F77545"/>
    <w:rsid w:val="00F86AFA"/>
    <w:rsid w:val="00F9584E"/>
    <w:rsid w:val="00FA077A"/>
    <w:rsid w:val="00FB238F"/>
    <w:rsid w:val="00FC0C4E"/>
    <w:rsid w:val="00FD1EB3"/>
    <w:rsid w:val="00FE70BF"/>
    <w:rsid w:val="011E2464"/>
    <w:rsid w:val="0162050F"/>
    <w:rsid w:val="028D23AA"/>
    <w:rsid w:val="029E2084"/>
    <w:rsid w:val="029F281A"/>
    <w:rsid w:val="02A62A89"/>
    <w:rsid w:val="02A95619"/>
    <w:rsid w:val="03474314"/>
    <w:rsid w:val="034C7A3F"/>
    <w:rsid w:val="036D14B2"/>
    <w:rsid w:val="036D24B1"/>
    <w:rsid w:val="03D44D6E"/>
    <w:rsid w:val="04255E15"/>
    <w:rsid w:val="04AE65D9"/>
    <w:rsid w:val="04DB2F13"/>
    <w:rsid w:val="054B16F7"/>
    <w:rsid w:val="05AB63B7"/>
    <w:rsid w:val="05FC066B"/>
    <w:rsid w:val="060C5C00"/>
    <w:rsid w:val="06756908"/>
    <w:rsid w:val="06DE4BE7"/>
    <w:rsid w:val="06F37A6F"/>
    <w:rsid w:val="07601FDF"/>
    <w:rsid w:val="092F7B5B"/>
    <w:rsid w:val="094F680B"/>
    <w:rsid w:val="095E220C"/>
    <w:rsid w:val="0993610B"/>
    <w:rsid w:val="09F34ED0"/>
    <w:rsid w:val="0A972A12"/>
    <w:rsid w:val="0A9F4E85"/>
    <w:rsid w:val="0ABC3EF4"/>
    <w:rsid w:val="0AFD0EBC"/>
    <w:rsid w:val="0B2746EC"/>
    <w:rsid w:val="0B4811D9"/>
    <w:rsid w:val="0D8D3E9A"/>
    <w:rsid w:val="0DC22703"/>
    <w:rsid w:val="0E4C0072"/>
    <w:rsid w:val="0EB2020F"/>
    <w:rsid w:val="0F1D1B2D"/>
    <w:rsid w:val="0FAD046A"/>
    <w:rsid w:val="103324A9"/>
    <w:rsid w:val="104037BC"/>
    <w:rsid w:val="118C5802"/>
    <w:rsid w:val="11AF6DC5"/>
    <w:rsid w:val="123F3228"/>
    <w:rsid w:val="1279601C"/>
    <w:rsid w:val="127962EB"/>
    <w:rsid w:val="12FA0C38"/>
    <w:rsid w:val="1329216B"/>
    <w:rsid w:val="13AB3C9B"/>
    <w:rsid w:val="14215943"/>
    <w:rsid w:val="145117B2"/>
    <w:rsid w:val="147B20B0"/>
    <w:rsid w:val="14AF5199"/>
    <w:rsid w:val="14DF790F"/>
    <w:rsid w:val="14FC5310"/>
    <w:rsid w:val="154449A2"/>
    <w:rsid w:val="154D7FC2"/>
    <w:rsid w:val="15F24C06"/>
    <w:rsid w:val="177E5807"/>
    <w:rsid w:val="186D61A3"/>
    <w:rsid w:val="18E5261A"/>
    <w:rsid w:val="1A21451C"/>
    <w:rsid w:val="1A3D367B"/>
    <w:rsid w:val="1A537712"/>
    <w:rsid w:val="1A91208D"/>
    <w:rsid w:val="1B545FC8"/>
    <w:rsid w:val="1BDC13C0"/>
    <w:rsid w:val="1BE108C9"/>
    <w:rsid w:val="1D332EDF"/>
    <w:rsid w:val="1D60622D"/>
    <w:rsid w:val="1D657C22"/>
    <w:rsid w:val="1D8925E8"/>
    <w:rsid w:val="1D89620A"/>
    <w:rsid w:val="1E2C677C"/>
    <w:rsid w:val="1E914423"/>
    <w:rsid w:val="1EB32F4F"/>
    <w:rsid w:val="1F3E48DE"/>
    <w:rsid w:val="1F853C21"/>
    <w:rsid w:val="1F9C084C"/>
    <w:rsid w:val="1FAA17F2"/>
    <w:rsid w:val="1FCF01B4"/>
    <w:rsid w:val="1FFF3588"/>
    <w:rsid w:val="2065234C"/>
    <w:rsid w:val="206F0EC3"/>
    <w:rsid w:val="20AC3C46"/>
    <w:rsid w:val="20BA13B8"/>
    <w:rsid w:val="20D563E2"/>
    <w:rsid w:val="20D91494"/>
    <w:rsid w:val="210A02FD"/>
    <w:rsid w:val="213F2E0F"/>
    <w:rsid w:val="214136D9"/>
    <w:rsid w:val="21B2379C"/>
    <w:rsid w:val="21D73976"/>
    <w:rsid w:val="220B62AC"/>
    <w:rsid w:val="22F33C21"/>
    <w:rsid w:val="22FB1F69"/>
    <w:rsid w:val="230C040D"/>
    <w:rsid w:val="2399137B"/>
    <w:rsid w:val="23AC7FA5"/>
    <w:rsid w:val="24BA1A32"/>
    <w:rsid w:val="251E043C"/>
    <w:rsid w:val="25295DA0"/>
    <w:rsid w:val="2579542A"/>
    <w:rsid w:val="258F43CC"/>
    <w:rsid w:val="25B97622"/>
    <w:rsid w:val="26921350"/>
    <w:rsid w:val="26CD68E3"/>
    <w:rsid w:val="275C2174"/>
    <w:rsid w:val="275E5D86"/>
    <w:rsid w:val="2769166F"/>
    <w:rsid w:val="27C063B2"/>
    <w:rsid w:val="288D6856"/>
    <w:rsid w:val="28944720"/>
    <w:rsid w:val="28FC43BF"/>
    <w:rsid w:val="291423B9"/>
    <w:rsid w:val="29681268"/>
    <w:rsid w:val="2A561076"/>
    <w:rsid w:val="2A755A95"/>
    <w:rsid w:val="2A9274E1"/>
    <w:rsid w:val="2AE306AA"/>
    <w:rsid w:val="2B0674C1"/>
    <w:rsid w:val="2B7E3C98"/>
    <w:rsid w:val="2B807273"/>
    <w:rsid w:val="2BB1205D"/>
    <w:rsid w:val="2BB86A0D"/>
    <w:rsid w:val="2BD31A99"/>
    <w:rsid w:val="2C007EF8"/>
    <w:rsid w:val="2C55425C"/>
    <w:rsid w:val="2C634A69"/>
    <w:rsid w:val="2C760DE1"/>
    <w:rsid w:val="2D044582"/>
    <w:rsid w:val="2D594220"/>
    <w:rsid w:val="2D937C96"/>
    <w:rsid w:val="2E9A3622"/>
    <w:rsid w:val="2EC60EF1"/>
    <w:rsid w:val="2ECA2124"/>
    <w:rsid w:val="306E4992"/>
    <w:rsid w:val="307A4084"/>
    <w:rsid w:val="31027DEC"/>
    <w:rsid w:val="320D3CD7"/>
    <w:rsid w:val="322F357C"/>
    <w:rsid w:val="329238C7"/>
    <w:rsid w:val="32FC42C5"/>
    <w:rsid w:val="337622D0"/>
    <w:rsid w:val="349A6501"/>
    <w:rsid w:val="34A82055"/>
    <w:rsid w:val="35796FCF"/>
    <w:rsid w:val="357F373F"/>
    <w:rsid w:val="35934191"/>
    <w:rsid w:val="35CC6293"/>
    <w:rsid w:val="367C044C"/>
    <w:rsid w:val="36C803EC"/>
    <w:rsid w:val="36DF1002"/>
    <w:rsid w:val="370A736F"/>
    <w:rsid w:val="39291450"/>
    <w:rsid w:val="398B3F0E"/>
    <w:rsid w:val="39967D31"/>
    <w:rsid w:val="39EC5C81"/>
    <w:rsid w:val="3AAD5B83"/>
    <w:rsid w:val="3AEA295B"/>
    <w:rsid w:val="3B19189F"/>
    <w:rsid w:val="3B1E43B3"/>
    <w:rsid w:val="3B4203BD"/>
    <w:rsid w:val="3BEE6C1A"/>
    <w:rsid w:val="3C2B6BB6"/>
    <w:rsid w:val="3C8A7C0A"/>
    <w:rsid w:val="3CDF5FF7"/>
    <w:rsid w:val="3CEC1F46"/>
    <w:rsid w:val="3D8835CB"/>
    <w:rsid w:val="3DB61FB4"/>
    <w:rsid w:val="3DE00590"/>
    <w:rsid w:val="3E3C2537"/>
    <w:rsid w:val="3E3D2DA2"/>
    <w:rsid w:val="3E5A34E8"/>
    <w:rsid w:val="3E7F4EC3"/>
    <w:rsid w:val="3EC85379"/>
    <w:rsid w:val="3F970C32"/>
    <w:rsid w:val="4004036D"/>
    <w:rsid w:val="400B0C70"/>
    <w:rsid w:val="40243E17"/>
    <w:rsid w:val="40260F8D"/>
    <w:rsid w:val="40D73E94"/>
    <w:rsid w:val="40E3416F"/>
    <w:rsid w:val="412851BA"/>
    <w:rsid w:val="416B66A4"/>
    <w:rsid w:val="429959E6"/>
    <w:rsid w:val="4302526B"/>
    <w:rsid w:val="432806E4"/>
    <w:rsid w:val="43695DAA"/>
    <w:rsid w:val="4386366F"/>
    <w:rsid w:val="44576F5F"/>
    <w:rsid w:val="44874618"/>
    <w:rsid w:val="4496537B"/>
    <w:rsid w:val="44B222AB"/>
    <w:rsid w:val="44C96B9F"/>
    <w:rsid w:val="45075D21"/>
    <w:rsid w:val="450C3B3D"/>
    <w:rsid w:val="451829E5"/>
    <w:rsid w:val="452419F8"/>
    <w:rsid w:val="461F21B4"/>
    <w:rsid w:val="46B40F7C"/>
    <w:rsid w:val="46EA09AC"/>
    <w:rsid w:val="473A59AF"/>
    <w:rsid w:val="474C1085"/>
    <w:rsid w:val="479A1D6A"/>
    <w:rsid w:val="47D21405"/>
    <w:rsid w:val="4865047C"/>
    <w:rsid w:val="48663E12"/>
    <w:rsid w:val="48A24E25"/>
    <w:rsid w:val="48AA6C19"/>
    <w:rsid w:val="49470F79"/>
    <w:rsid w:val="49B64B2A"/>
    <w:rsid w:val="49E61AE0"/>
    <w:rsid w:val="49F5104E"/>
    <w:rsid w:val="4A3239D7"/>
    <w:rsid w:val="4A6F4AE1"/>
    <w:rsid w:val="4AD46805"/>
    <w:rsid w:val="4B5255F3"/>
    <w:rsid w:val="4BC1190A"/>
    <w:rsid w:val="4BD666B5"/>
    <w:rsid w:val="4C212D7E"/>
    <w:rsid w:val="4C245A7F"/>
    <w:rsid w:val="4C771328"/>
    <w:rsid w:val="4CE5607E"/>
    <w:rsid w:val="4D020545"/>
    <w:rsid w:val="4D48571B"/>
    <w:rsid w:val="4D862D70"/>
    <w:rsid w:val="4E4E73FF"/>
    <w:rsid w:val="4E554B19"/>
    <w:rsid w:val="4EC347D9"/>
    <w:rsid w:val="4EF34719"/>
    <w:rsid w:val="4F3B5A96"/>
    <w:rsid w:val="4F462F9B"/>
    <w:rsid w:val="4FE04474"/>
    <w:rsid w:val="503C6D7C"/>
    <w:rsid w:val="503E769A"/>
    <w:rsid w:val="5088154B"/>
    <w:rsid w:val="509C63C7"/>
    <w:rsid w:val="50C86233"/>
    <w:rsid w:val="50E35A2B"/>
    <w:rsid w:val="50E765BA"/>
    <w:rsid w:val="51121211"/>
    <w:rsid w:val="51331098"/>
    <w:rsid w:val="514B3E1E"/>
    <w:rsid w:val="51A451BA"/>
    <w:rsid w:val="51AA02F7"/>
    <w:rsid w:val="51B714F6"/>
    <w:rsid w:val="51EB3AFC"/>
    <w:rsid w:val="52253C9A"/>
    <w:rsid w:val="53245F14"/>
    <w:rsid w:val="53426A39"/>
    <w:rsid w:val="53B76D66"/>
    <w:rsid w:val="53C05259"/>
    <w:rsid w:val="53CD24C2"/>
    <w:rsid w:val="54895C85"/>
    <w:rsid w:val="54C379BF"/>
    <w:rsid w:val="55825B4B"/>
    <w:rsid w:val="55BB5EDC"/>
    <w:rsid w:val="55D41A28"/>
    <w:rsid w:val="563919B1"/>
    <w:rsid w:val="56F46C4E"/>
    <w:rsid w:val="57275A20"/>
    <w:rsid w:val="5760440C"/>
    <w:rsid w:val="57984190"/>
    <w:rsid w:val="583B379A"/>
    <w:rsid w:val="583B4087"/>
    <w:rsid w:val="588A04C2"/>
    <w:rsid w:val="58985638"/>
    <w:rsid w:val="597A09AF"/>
    <w:rsid w:val="59F26538"/>
    <w:rsid w:val="5A362E4D"/>
    <w:rsid w:val="5A5B62C8"/>
    <w:rsid w:val="5A735BD2"/>
    <w:rsid w:val="5A8755A4"/>
    <w:rsid w:val="5AE14D89"/>
    <w:rsid w:val="5B135956"/>
    <w:rsid w:val="5B91692E"/>
    <w:rsid w:val="5BA86ABC"/>
    <w:rsid w:val="5BB96A9F"/>
    <w:rsid w:val="5BD332DE"/>
    <w:rsid w:val="5C2753E3"/>
    <w:rsid w:val="5C8D51D6"/>
    <w:rsid w:val="5CFD66AF"/>
    <w:rsid w:val="5D6179F5"/>
    <w:rsid w:val="5DA253A0"/>
    <w:rsid w:val="5E3F64CF"/>
    <w:rsid w:val="5EBE1BCF"/>
    <w:rsid w:val="5F0751BF"/>
    <w:rsid w:val="5F2A35B1"/>
    <w:rsid w:val="5F2E2687"/>
    <w:rsid w:val="5F2F459B"/>
    <w:rsid w:val="601F6401"/>
    <w:rsid w:val="607A40A1"/>
    <w:rsid w:val="610024EC"/>
    <w:rsid w:val="610025DC"/>
    <w:rsid w:val="612965CB"/>
    <w:rsid w:val="614F3C56"/>
    <w:rsid w:val="62E303D6"/>
    <w:rsid w:val="630C52BA"/>
    <w:rsid w:val="634253B2"/>
    <w:rsid w:val="64E851AE"/>
    <w:rsid w:val="65C73108"/>
    <w:rsid w:val="65D16A25"/>
    <w:rsid w:val="66553126"/>
    <w:rsid w:val="669B1154"/>
    <w:rsid w:val="66D74900"/>
    <w:rsid w:val="66EE486B"/>
    <w:rsid w:val="671E0C83"/>
    <w:rsid w:val="685E2616"/>
    <w:rsid w:val="68857F76"/>
    <w:rsid w:val="68B14BCC"/>
    <w:rsid w:val="690A55FB"/>
    <w:rsid w:val="692076F4"/>
    <w:rsid w:val="69263C28"/>
    <w:rsid w:val="69BC0A91"/>
    <w:rsid w:val="6A1F0B81"/>
    <w:rsid w:val="6A381363"/>
    <w:rsid w:val="6A5156BC"/>
    <w:rsid w:val="6AA91772"/>
    <w:rsid w:val="6AB409FD"/>
    <w:rsid w:val="6B0E60F4"/>
    <w:rsid w:val="6B6B7562"/>
    <w:rsid w:val="6BEA3247"/>
    <w:rsid w:val="6BFD361E"/>
    <w:rsid w:val="6D652ECF"/>
    <w:rsid w:val="6E4B7994"/>
    <w:rsid w:val="6E9A18FB"/>
    <w:rsid w:val="6ECF636F"/>
    <w:rsid w:val="6EDC7EBA"/>
    <w:rsid w:val="6EE34836"/>
    <w:rsid w:val="6FA65B97"/>
    <w:rsid w:val="70380151"/>
    <w:rsid w:val="70A262ED"/>
    <w:rsid w:val="70EE71C6"/>
    <w:rsid w:val="70FF3D63"/>
    <w:rsid w:val="715C1F30"/>
    <w:rsid w:val="7235631C"/>
    <w:rsid w:val="72666744"/>
    <w:rsid w:val="72834F56"/>
    <w:rsid w:val="728B32BB"/>
    <w:rsid w:val="72907540"/>
    <w:rsid w:val="72A46970"/>
    <w:rsid w:val="72EF4650"/>
    <w:rsid w:val="733832B3"/>
    <w:rsid w:val="73C3378A"/>
    <w:rsid w:val="73C436ED"/>
    <w:rsid w:val="742C6B0B"/>
    <w:rsid w:val="74357F0A"/>
    <w:rsid w:val="74365DC0"/>
    <w:rsid w:val="74C96495"/>
    <w:rsid w:val="74CF5C9D"/>
    <w:rsid w:val="74D70F15"/>
    <w:rsid w:val="74DF1EE2"/>
    <w:rsid w:val="753B4C72"/>
    <w:rsid w:val="755B5F89"/>
    <w:rsid w:val="756D7BA2"/>
    <w:rsid w:val="759C462A"/>
    <w:rsid w:val="75A849CA"/>
    <w:rsid w:val="75CB0D33"/>
    <w:rsid w:val="75D4795E"/>
    <w:rsid w:val="766D176F"/>
    <w:rsid w:val="76AC090B"/>
    <w:rsid w:val="76AC4E86"/>
    <w:rsid w:val="787B5FFB"/>
    <w:rsid w:val="78A00D1B"/>
    <w:rsid w:val="78A978BC"/>
    <w:rsid w:val="78CB2651"/>
    <w:rsid w:val="794E6000"/>
    <w:rsid w:val="79676579"/>
    <w:rsid w:val="79870D9A"/>
    <w:rsid w:val="79AD43C4"/>
    <w:rsid w:val="79DF7670"/>
    <w:rsid w:val="7A0A576F"/>
    <w:rsid w:val="7A49604F"/>
    <w:rsid w:val="7ADE4043"/>
    <w:rsid w:val="7AE0471F"/>
    <w:rsid w:val="7B031516"/>
    <w:rsid w:val="7B212AB0"/>
    <w:rsid w:val="7B9B3925"/>
    <w:rsid w:val="7BA619AB"/>
    <w:rsid w:val="7BAA1EF8"/>
    <w:rsid w:val="7BFC78F4"/>
    <w:rsid w:val="7C0B122A"/>
    <w:rsid w:val="7C351A2B"/>
    <w:rsid w:val="7D0762C7"/>
    <w:rsid w:val="7D3D3486"/>
    <w:rsid w:val="7DE6351B"/>
    <w:rsid w:val="7E2F0E9B"/>
    <w:rsid w:val="7EC81EA2"/>
    <w:rsid w:val="7EE556F7"/>
    <w:rsid w:val="7F500444"/>
    <w:rsid w:val="7F612718"/>
    <w:rsid w:val="7FF014C5"/>
    <w:rsid w:val="96E564FA"/>
    <w:rsid w:val="B6F2D6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autoRedefine/>
    <w:semiHidden/>
    <w:unhideWhenUsed/>
    <w:qFormat/>
    <w:uiPriority w:val="0"/>
    <w:pPr>
      <w:jc w:val="left"/>
    </w:pPr>
  </w:style>
  <w:style w:type="paragraph" w:styleId="4">
    <w:name w:val="Body Text"/>
    <w:basedOn w:val="1"/>
    <w:qFormat/>
    <w:uiPriority w:val="99"/>
    <w:pPr>
      <w:widowControl w:val="0"/>
      <w:jc w:val="center"/>
    </w:pPr>
    <w:rPr>
      <w:rFonts w:ascii="华文中宋" w:hAnsi="Times New Roman" w:eastAsia="华文中宋" w:cs="Times New Roman"/>
      <w:b/>
      <w:bCs/>
      <w:kern w:val="2"/>
      <w:sz w:val="44"/>
      <w:szCs w:val="36"/>
      <w:lang w:val="en-US" w:eastAsia="zh-CN" w:bidi="ar-SA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/>
    </w:rPr>
  </w:style>
  <w:style w:type="paragraph" w:styleId="6">
    <w:name w:val="Balloon Text"/>
    <w:basedOn w:val="1"/>
    <w:link w:val="44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2"/>
    <w:basedOn w:val="1"/>
    <w:next w:val="4"/>
    <w:autoRedefine/>
    <w:qFormat/>
    <w:uiPriority w:val="0"/>
    <w:pPr>
      <w:adjustRightInd w:val="0"/>
      <w:snapToGrid w:val="0"/>
      <w:spacing w:line="480" w:lineRule="atLeast"/>
    </w:pPr>
    <w:rPr>
      <w:rFonts w:ascii="宋体" w:hAnsi="宋体" w:eastAsia="宋体" w:cs="Times New Roman"/>
      <w:sz w:val="28"/>
    </w:rPr>
  </w:style>
  <w:style w:type="paragraph" w:styleId="10">
    <w:name w:val="Title"/>
    <w:basedOn w:val="1"/>
    <w:next w:val="1"/>
    <w:autoRedefine/>
    <w:qFormat/>
    <w:uiPriority w:val="10"/>
    <w:pPr>
      <w:widowControl w:val="0"/>
      <w:spacing w:before="120" w:after="120" w:line="360" w:lineRule="auto"/>
      <w:jc w:val="center"/>
      <w:outlineLvl w:val="0"/>
    </w:pPr>
    <w:rPr>
      <w:rFonts w:ascii="Cambria" w:hAnsi="Cambria" w:eastAsia="宋体" w:cs="Times New Roman"/>
      <w:b/>
      <w:kern w:val="2"/>
      <w:sz w:val="21"/>
      <w:szCs w:val="24"/>
      <w:lang w:val="en-US" w:eastAsia="zh-CN" w:bidi="ar-SA"/>
    </w:rPr>
  </w:style>
  <w:style w:type="paragraph" w:styleId="11">
    <w:name w:val="Body Text First Indent"/>
    <w:basedOn w:val="4"/>
    <w:autoRedefine/>
    <w:qFormat/>
    <w:uiPriority w:val="0"/>
    <w:pPr>
      <w:widowControl w:val="0"/>
      <w:ind w:firstLine="420" w:firstLineChars="100"/>
      <w:jc w:val="center"/>
    </w:pPr>
    <w:rPr>
      <w:rFonts w:ascii="华文中宋" w:hAnsi="Times New Roman" w:eastAsia="华文中宋" w:cs="Times New Roman"/>
      <w:kern w:val="2"/>
      <w:sz w:val="44"/>
      <w:szCs w:val="36"/>
      <w:lang w:val="en-US" w:eastAsia="zh-CN" w:bidi="ar-SA"/>
    </w:rPr>
  </w:style>
  <w:style w:type="paragraph" w:styleId="12">
    <w:name w:val="Body Text First Indent 2"/>
    <w:basedOn w:val="5"/>
    <w:next w:val="11"/>
    <w:autoRedefine/>
    <w:qFormat/>
    <w:uiPriority w:val="0"/>
    <w:pPr>
      <w:ind w:firstLine="420" w:firstLineChars="200"/>
    </w:pPr>
  </w:style>
  <w:style w:type="character" w:styleId="15">
    <w:name w:val="Strong"/>
    <w:basedOn w:val="14"/>
    <w:autoRedefine/>
    <w:qFormat/>
    <w:uiPriority w:val="0"/>
    <w:rPr>
      <w:b/>
      <w:bCs/>
    </w:rPr>
  </w:style>
  <w:style w:type="character" w:styleId="16">
    <w:name w:val="page number"/>
    <w:basedOn w:val="14"/>
    <w:autoRedefine/>
    <w:semiHidden/>
    <w:unhideWhenUsed/>
    <w:qFormat/>
    <w:uiPriority w:val="0"/>
    <w:rPr>
      <w:rFonts w:ascii="宋体" w:hAnsi="宋体" w:eastAsia="宋体"/>
      <w:sz w:val="28"/>
    </w:rPr>
  </w:style>
  <w:style w:type="character" w:styleId="17">
    <w:name w:val="FollowedHyperlink"/>
    <w:basedOn w:val="14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4"/>
    <w:autoRedefine/>
    <w:unhideWhenUsed/>
    <w:qFormat/>
    <w:uiPriority w:val="99"/>
    <w:rPr>
      <w:color w:val="0000FF"/>
      <w:u w:val="single"/>
    </w:rPr>
  </w:style>
  <w:style w:type="paragraph" w:customStyle="1" w:styleId="19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20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24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xl8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xl8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85"/>
    <w:basedOn w:val="1"/>
    <w:autoRedefine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28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29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30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31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xl92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xl93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xl9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7">
    <w:name w:val="xl95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8">
    <w:name w:val="xl96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">
    <w:name w:val="xl97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0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41">
    <w:name w:val="xl99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2">
    <w:name w:val="xl100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xl101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4">
    <w:name w:val="批注框文本 字符"/>
    <w:basedOn w:val="14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45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7">
    <w:name w:val="font21"/>
    <w:basedOn w:val="14"/>
    <w:autoRedefine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48">
    <w:name w:val="font3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9">
    <w:name w:val="font4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0">
    <w:name w:val="font5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37</Pages>
  <Words>13952</Words>
  <Characters>18361</Characters>
  <Lines>171</Lines>
  <Paragraphs>48</Paragraphs>
  <TotalTime>16</TotalTime>
  <ScaleCrop>false</ScaleCrop>
  <LinksUpToDate>false</LinksUpToDate>
  <CharactersWithSpaces>19972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2020-05-30T00:40:00Z</dcterms:created>
  <dc:creator>起个名字真难</dc:creator>
  <cp:lastModifiedBy>月牙呀</cp:lastModifiedBy>
  <cp:lastPrinted>2024-02-05T01:14:00Z</cp:lastPrinted>
  <dcterms:modified xsi:type="dcterms:W3CDTF">2024-03-07T01:49:34Z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B490127C6DBC4A3D9C7851CF83FFC851_13</vt:lpwstr>
  </property>
  <property fmtid="{D5CDD505-2E9C-101B-9397-08002B2CF9AE}" pid="4" name="commondata">
    <vt:lpwstr>eyJoZGlkIjoiZTIxOTZiNmQyNjk4NmEyYmE2OThjZTI1YmU4NTlkN2IifQ==</vt:lpwstr>
  </property>
</Properties>
</file>