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b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auto"/>
          <w:sz w:val="72"/>
          <w:szCs w:val="72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auto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color w:val="auto"/>
          <w:sz w:val="72"/>
          <w:szCs w:val="72"/>
          <w:lang w:val="en-US" w:eastAsia="zh-CN"/>
        </w:rPr>
        <w:t>安阳市龙安区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/>
          <w:b/>
          <w:color w:val="FF0000"/>
          <w:sz w:val="72"/>
          <w:szCs w:val="72"/>
          <w:lang w:eastAsia="zh-CN"/>
        </w:rPr>
      </w:pPr>
      <w:r>
        <w:rPr>
          <w:rFonts w:hint="eastAsia" w:ascii="宋体" w:hAnsi="宋体"/>
          <w:b/>
          <w:color w:val="auto"/>
          <w:sz w:val="72"/>
          <w:szCs w:val="72"/>
          <w:lang w:val="en-US" w:eastAsia="zh-CN"/>
        </w:rPr>
        <w:t>马投涧镇第二中学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/>
          <w:b/>
          <w:sz w:val="72"/>
          <w:szCs w:val="72"/>
        </w:rPr>
        <w:t>20</w:t>
      </w:r>
      <w:r>
        <w:rPr>
          <w:rFonts w:hint="eastAsia" w:ascii="宋体" w:hAnsi="宋体"/>
          <w:b/>
          <w:sz w:val="72"/>
          <w:szCs w:val="72"/>
        </w:rPr>
        <w:t>2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>4</w:t>
      </w:r>
      <w:r>
        <w:rPr>
          <w:rFonts w:hint="eastAsia" w:ascii="宋体" w:hAnsi="宋体"/>
          <w:b/>
          <w:sz w:val="72"/>
          <w:szCs w:val="72"/>
        </w:rPr>
        <w:t>年度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>单位</w:t>
      </w:r>
      <w:r>
        <w:rPr>
          <w:rFonts w:hint="eastAsia" w:ascii="宋体" w:hAnsi="宋体"/>
          <w:b/>
          <w:sz w:val="72"/>
          <w:szCs w:val="72"/>
        </w:rPr>
        <w:t>预算公开说明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leftChars="48" w:right="-58" w:firstLine="2831" w:firstLineChars="641"/>
        <w:rPr>
          <w:rFonts w:ascii="宋体" w:hAnsi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/>
          <w:b/>
          <w:bCs w:val="0"/>
          <w:color w:val="auto"/>
          <w:sz w:val="44"/>
          <w:szCs w:val="44"/>
        </w:rPr>
        <w:t>202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年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月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 xml:space="preserve"> 20</w:t>
      </w:r>
      <w:bookmarkStart w:id="1" w:name="_GoBack"/>
      <w:bookmarkEnd w:id="1"/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日</w:t>
      </w:r>
    </w:p>
    <w:p>
      <w:pPr>
        <w:kinsoku w:val="0"/>
        <w:overflowPunct w:val="0"/>
        <w:adjustRightInd w:val="0"/>
        <w:snapToGrid w:val="0"/>
        <w:spacing w:line="360" w:lineRule="auto"/>
        <w:ind w:firstLine="3920" w:firstLineChars="700"/>
        <w:jc w:val="both"/>
        <w:rPr>
          <w:rFonts w:hint="eastAsia"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firstLine="3920" w:firstLineChars="700"/>
        <w:jc w:val="both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  录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ascii="黑体" w:hAnsi="Times New Roman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  <w:lang w:eastAsia="zh-CN"/>
        </w:rPr>
        <w:t>单位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ascii="黑体" w:hAnsi="Times New Roman" w:eastAsia="黑体" w:cs="黑体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 xml:space="preserve"> 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Times New Roman" w:eastAsia="黑体" w:cs="黑体"/>
          <w:sz w:val="32"/>
          <w:szCs w:val="32"/>
        </w:rPr>
        <w:t>年度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单位</w:t>
      </w:r>
      <w:r>
        <w:rPr>
          <w:rFonts w:hint="eastAsia" w:ascii="黑体" w:hAnsi="Times New Roman" w:eastAsia="黑体" w:cs="黑体"/>
          <w:sz w:val="32"/>
          <w:szCs w:val="32"/>
        </w:rPr>
        <w:t>预算情况说明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收支总体情况说明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收入总体情况说明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支出总体情况说明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四、财政拨款收支总体情况说明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五、一般公共预算支出情况说明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六、一般公共预算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Times New Roman" w:eastAsia="仿宋_GB2312" w:cs="仿宋_GB2312"/>
          <w:sz w:val="32"/>
          <w:szCs w:val="32"/>
        </w:rPr>
        <w:t>支出情况说明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七、一般公共预算“三公”经费支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出预算情况说明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八、政府性基金预算支出情况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Times New Roman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其他重要事项的情况说明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第三部分  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>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Times New Roman" w:eastAsia="黑体" w:cs="黑体"/>
          <w:sz w:val="32"/>
          <w:szCs w:val="32"/>
        </w:rPr>
        <w:t>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Times New Roman" w:eastAsia="黑体" w:cs="黑体"/>
          <w:sz w:val="32"/>
          <w:szCs w:val="32"/>
        </w:rPr>
        <w:t>年度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单位</w:t>
      </w:r>
      <w:r>
        <w:rPr>
          <w:rFonts w:hint="eastAsia" w:ascii="黑体" w:hAnsi="Times New Roman" w:eastAsia="黑体" w:cs="黑体"/>
          <w:sz w:val="32"/>
          <w:szCs w:val="32"/>
        </w:rPr>
        <w:t>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收支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hint="eastAsia" w:ascii="仿宋" w:hAnsi="仿宋" w:eastAsia="仿宋" w:cs="仿宋"/>
          <w:sz w:val="30"/>
          <w:szCs w:val="30"/>
        </w:rPr>
        <w:t>一般公共预算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基本支出表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" w:hAnsi="仿宋" w:eastAsia="仿宋" w:cs="仿宋"/>
          <w:sz w:val="30"/>
          <w:szCs w:val="30"/>
        </w:rPr>
        <w:t>一般公共预算“三公”经费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</w:t>
      </w:r>
      <w:r>
        <w:rPr>
          <w:rFonts w:hint="eastAsia" w:ascii="仿宋" w:hAnsi="仿宋" w:eastAsia="仿宋" w:cs="仿宋"/>
          <w:sz w:val="30"/>
          <w:szCs w:val="30"/>
        </w:rPr>
        <w:t>政府性基金预算支出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十、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十一、单位整体绩效目标表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十二、单位预算项目绩效目标表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44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44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44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b/>
          <w:bCs/>
          <w:sz w:val="40"/>
          <w:szCs w:val="32"/>
          <w:lang w:eastAsia="zh-CN"/>
        </w:rPr>
        <w:t>单位</w:t>
      </w:r>
      <w:r>
        <w:rPr>
          <w:rFonts w:hint="eastAsia" w:ascii="黑体" w:hAnsi="黑体" w:eastAsia="黑体"/>
          <w:b/>
          <w:bCs/>
          <w:sz w:val="40"/>
          <w:szCs w:val="32"/>
        </w:rPr>
        <w:t>概</w:t>
      </w:r>
      <w:r>
        <w:rPr>
          <w:rFonts w:hint="eastAsia" w:ascii="黑体" w:hAnsi="黑体" w:eastAsia="黑体"/>
          <w:sz w:val="40"/>
          <w:szCs w:val="32"/>
        </w:rPr>
        <w:t>况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单位</w:t>
      </w:r>
      <w:r>
        <w:rPr>
          <w:rFonts w:hint="eastAsia" w:ascii="宋体" w:hAnsi="宋体"/>
          <w:b/>
          <w:bCs/>
          <w:sz w:val="32"/>
          <w:szCs w:val="32"/>
        </w:rPr>
        <w:t>主要职责</w:t>
      </w:r>
    </w:p>
    <w:p>
      <w:pPr>
        <w:pStyle w:val="12"/>
        <w:spacing w:before="23" w:line="360" w:lineRule="auto"/>
        <w:ind w:right="-68" w:firstLine="1280" w:firstLineChars="4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(一)正确贯彻执行党和国家的教育方针、政策、法规；</w:t>
      </w:r>
    </w:p>
    <w:p>
      <w:pPr>
        <w:pStyle w:val="12"/>
        <w:spacing w:before="23" w:line="360" w:lineRule="auto"/>
        <w:ind w:right="-68" w:firstLine="1280" w:firstLineChars="4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(二)维护学校的教学秩序，为学生创造良好的学习环境；</w:t>
      </w:r>
    </w:p>
    <w:p>
      <w:pPr>
        <w:pStyle w:val="12"/>
        <w:spacing w:before="23" w:line="360" w:lineRule="auto"/>
        <w:ind w:right="-68" w:firstLine="1280" w:firstLineChars="4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(三)积极稳妥地推进教育改革，按教育规律办事，不断提高教育质量；</w:t>
      </w:r>
    </w:p>
    <w:p>
      <w:pPr>
        <w:pStyle w:val="12"/>
        <w:spacing w:before="23" w:line="360" w:lineRule="auto"/>
        <w:ind w:right="-68" w:firstLine="1280" w:firstLineChars="4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(四)根据学校规模，设置学校管理机构，建立健全各项规章制度和岗位责任制；</w:t>
      </w:r>
    </w:p>
    <w:p>
      <w:pPr>
        <w:pStyle w:val="12"/>
        <w:spacing w:before="23" w:line="360" w:lineRule="auto"/>
        <w:ind w:right="-68" w:firstLine="1280" w:firstLineChars="4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(五)坚持教书育人，服务育人，环境育人方针，加强对学生的思想品德教育，使学生的德智体全面发展；</w:t>
      </w:r>
    </w:p>
    <w:p>
      <w:pPr>
        <w:pStyle w:val="12"/>
        <w:spacing w:before="23" w:line="360" w:lineRule="auto"/>
        <w:ind w:right="-68" w:firstLine="1280" w:firstLineChars="4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(六)抓好教师队伍建设，使每个教师都热心于教育事业；</w:t>
      </w:r>
    </w:p>
    <w:p>
      <w:pPr>
        <w:adjustRightInd w:val="0"/>
        <w:snapToGrid w:val="0"/>
        <w:spacing w:line="360" w:lineRule="auto"/>
        <w:ind w:firstLine="1280" w:firstLineChars="400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(七)做好安全防范，保证学生的人身安全。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宋体" w:hAnsi="宋体" w:eastAsia="黑体"/>
          <w:b/>
          <w:bCs/>
          <w:sz w:val="32"/>
          <w:szCs w:val="32"/>
          <w:lang w:eastAsia="zh-CN"/>
        </w:rPr>
        <w:t>单位</w:t>
      </w:r>
      <w:r>
        <w:rPr>
          <w:rFonts w:hint="eastAsia" w:ascii="宋体" w:hAnsi="宋体"/>
          <w:b/>
          <w:bCs/>
          <w:sz w:val="32"/>
          <w:szCs w:val="32"/>
        </w:rPr>
        <w:t>预</w:t>
      </w:r>
      <w:r>
        <w:rPr>
          <w:rFonts w:hint="eastAsia" w:ascii="宋体" w:hAnsi="宋体"/>
          <w:b/>
          <w:sz w:val="32"/>
          <w:szCs w:val="32"/>
        </w:rPr>
        <w:t>算单位构成</w:t>
      </w:r>
    </w:p>
    <w:p>
      <w:pPr>
        <w:pStyle w:val="2"/>
        <w:spacing w:line="360" w:lineRule="auto"/>
        <w:ind w:firstLine="60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安阳市龙安区马投涧镇第二中学事业编制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sz w:val="32"/>
          <w:szCs w:val="32"/>
        </w:rPr>
        <w:t>名，在职2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人，退休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人。本单位无二级机构。安阳市龙安区马投涧镇第二中学202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年预算公开仅包含本单位预算。</w:t>
      </w:r>
    </w:p>
    <w:p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黑体"/>
          <w:b/>
          <w:spacing w:val="-38"/>
          <w:sz w:val="40"/>
          <w:szCs w:val="32"/>
        </w:rPr>
      </w:pPr>
      <w:r>
        <w:rPr>
          <w:rFonts w:hint="eastAsia" w:ascii="宋体" w:hAnsi="宋体" w:cs="黑体"/>
          <w:b/>
          <w:sz w:val="40"/>
          <w:szCs w:val="32"/>
        </w:rPr>
        <w:t>第二部分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bCs/>
          <w:sz w:val="40"/>
          <w:szCs w:val="32"/>
        </w:rPr>
      </w:pPr>
      <w:r>
        <w:rPr>
          <w:rFonts w:ascii="黑体" w:hAnsi="Times New Roman" w:eastAsia="黑体" w:cs="黑体"/>
          <w:b/>
          <w:bCs/>
          <w:sz w:val="40"/>
          <w:szCs w:val="32"/>
        </w:rPr>
        <w:t>20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2</w:t>
      </w:r>
      <w:r>
        <w:rPr>
          <w:rFonts w:hint="eastAsia" w:ascii="黑体" w:hAnsi="Times New Roman" w:eastAsia="黑体" w:cs="黑体"/>
          <w:b/>
          <w:bCs/>
          <w:sz w:val="40"/>
          <w:szCs w:val="32"/>
          <w:lang w:val="en-US" w:eastAsia="zh-CN"/>
        </w:rPr>
        <w:t>4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年度</w:t>
      </w:r>
      <w:r>
        <w:rPr>
          <w:rFonts w:hint="eastAsia" w:ascii="黑体" w:hAnsi="Times New Roman" w:eastAsia="黑体" w:cs="黑体"/>
          <w:b/>
          <w:bCs/>
          <w:sz w:val="40"/>
          <w:szCs w:val="32"/>
          <w:lang w:eastAsia="zh-CN"/>
        </w:rPr>
        <w:t>单位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预算情况说明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sz w:val="32"/>
          <w:szCs w:val="32"/>
        </w:rPr>
        <w:t>收支总体情况说明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ascii="仿宋_GB2312" w:hAnsi="宋体" w:eastAsia="仿宋_GB2312" w:cs="Courier New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年收入总计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403.84</w:t>
      </w:r>
      <w:r>
        <w:rPr>
          <w:rFonts w:hint="eastAsia" w:ascii="仿宋_GB2312" w:eastAsia="仿宋_GB2312"/>
          <w:color w:val="auto"/>
          <w:sz w:val="32"/>
          <w:szCs w:val="32"/>
        </w:rPr>
        <w:t>万元，支出总计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403.84</w:t>
      </w:r>
      <w:r>
        <w:rPr>
          <w:rFonts w:hint="eastAsia" w:ascii="仿宋_GB2312" w:eastAsia="仿宋_GB2312"/>
          <w:color w:val="auto"/>
          <w:sz w:val="32"/>
          <w:szCs w:val="32"/>
        </w:rPr>
        <w:t>万元，与202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年相比，收支总计各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减少72.44</w:t>
      </w:r>
      <w:r>
        <w:rPr>
          <w:rFonts w:hint="eastAsia" w:ascii="仿宋_GB2312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减少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15.21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。主要原因：</w:t>
      </w:r>
      <w:r>
        <w:rPr>
          <w:rFonts w:hint="eastAsia" w:ascii="仿宋_GB2312" w:hAnsi="仿宋_GB2312" w:eastAsia="仿宋_GB2312" w:cs="仿宋_GB2312"/>
          <w:sz w:val="30"/>
          <w:szCs w:val="30"/>
        </w:rPr>
        <w:t>从严控制和压缩一般性支出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eastAsia="zh-CN"/>
        </w:rPr>
        <w:t>工资福利支出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</w:rPr>
        <w:t>减少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color w:val="auto"/>
          <w:sz w:val="32"/>
          <w:szCs w:val="32"/>
        </w:rPr>
        <w:t>收入总体情况说明</w:t>
      </w:r>
      <w:r>
        <w:rPr>
          <w:rFonts w:ascii="黑体" w:hAnsi="黑体" w:eastAsia="黑体"/>
          <w:color w:val="auto"/>
          <w:sz w:val="32"/>
          <w:szCs w:val="32"/>
        </w:rPr>
        <w:t xml:space="preserve">                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年收入合计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403.84</w:t>
      </w:r>
      <w:r>
        <w:rPr>
          <w:rFonts w:hint="eastAsia" w:ascii="仿宋_GB2312" w:eastAsia="仿宋_GB2312"/>
          <w:color w:val="auto"/>
          <w:sz w:val="32"/>
          <w:szCs w:val="32"/>
        </w:rPr>
        <w:t>万元，其中：一般公共预算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403.84</w:t>
      </w:r>
      <w:r>
        <w:rPr>
          <w:rFonts w:hint="eastAsia" w:ascii="仿宋_GB2312" w:eastAsia="仿宋_GB2312"/>
          <w:color w:val="auto"/>
          <w:sz w:val="32"/>
          <w:szCs w:val="32"/>
        </w:rPr>
        <w:t>万元; 政府性基金收入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万元；专户管理的教育收费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万元；国有资本经营预算收入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万元；事业收入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万元；经营收入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万元；其他收入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sz w:val="32"/>
          <w:szCs w:val="32"/>
        </w:rPr>
        <w:t>支出总体情况说明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   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年支出合计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403.84</w:t>
      </w:r>
      <w:r>
        <w:rPr>
          <w:rFonts w:hint="eastAsia" w:ascii="仿宋_GB2312" w:eastAsia="仿宋_GB2312"/>
          <w:color w:val="auto"/>
          <w:sz w:val="32"/>
          <w:szCs w:val="32"/>
        </w:rPr>
        <w:t>万元，其中：基本支出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375.55</w:t>
      </w:r>
      <w:r>
        <w:rPr>
          <w:rFonts w:hint="eastAsia" w:ascii="仿宋_GB2312" w:eastAsia="仿宋_GB2312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92.99</w:t>
      </w:r>
      <w:r>
        <w:rPr>
          <w:rFonts w:hint="eastAsia" w:ascii="仿宋_GB2312" w:eastAsia="仿宋_GB2312"/>
          <w:color w:val="auto"/>
          <w:sz w:val="32"/>
          <w:szCs w:val="32"/>
        </w:rPr>
        <w:t>%；项目支出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28.29</w:t>
      </w:r>
      <w:r>
        <w:rPr>
          <w:rFonts w:hint="eastAsia" w:ascii="仿宋_GB2312" w:eastAsia="仿宋_GB2312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7.01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四、财政拨款收支总体情况说明</w:t>
      </w:r>
      <w:r>
        <w:rPr>
          <w:rFonts w:ascii="黑体" w:hAnsi="黑体" w:eastAsia="黑体"/>
          <w:color w:val="auto"/>
          <w:sz w:val="32"/>
          <w:szCs w:val="32"/>
        </w:rPr>
        <w:t xml:space="preserve">         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</w:rPr>
        <w:t>一般公共预算收支预算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403.84</w:t>
      </w:r>
      <w:r>
        <w:rPr>
          <w:rFonts w:hint="eastAsia" w:ascii="仿宋_GB2312" w:eastAsia="仿宋_GB2312"/>
          <w:color w:val="auto"/>
          <w:sz w:val="32"/>
          <w:szCs w:val="32"/>
        </w:rPr>
        <w:t>万元，政府性基金收支预算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万元。与 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年相比，一般公共预算收支预算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减少72.44</w:t>
      </w:r>
      <w:r>
        <w:rPr>
          <w:rFonts w:hint="eastAsia" w:ascii="仿宋_GB2312" w:eastAsia="仿宋_GB2312"/>
          <w:color w:val="auto"/>
          <w:sz w:val="32"/>
          <w:szCs w:val="32"/>
        </w:rPr>
        <w:t>万元，减少15.21%。主要原因：从严控制和压缩一般性支出，工资福利支出减少等。政府性基金收支预算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增加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万元，增长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一般公共预算支出年初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预算为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403.84</w:t>
      </w:r>
      <w:r>
        <w:rPr>
          <w:rFonts w:hint="eastAsia" w:ascii="仿宋_GB2312" w:eastAsia="仿宋_GB2312"/>
          <w:color w:val="auto"/>
          <w:sz w:val="32"/>
          <w:szCs w:val="32"/>
        </w:rPr>
        <w:t>万元，其中：基本支出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375.55</w:t>
      </w:r>
      <w:r>
        <w:rPr>
          <w:rFonts w:hint="eastAsia" w:ascii="仿宋_GB2312" w:eastAsia="仿宋_GB2312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92.99</w:t>
      </w:r>
      <w:r>
        <w:rPr>
          <w:rFonts w:hint="eastAsia" w:ascii="仿宋_GB2312" w:eastAsia="仿宋_GB2312"/>
          <w:color w:val="auto"/>
          <w:sz w:val="32"/>
          <w:szCs w:val="32"/>
        </w:rPr>
        <w:t>%；项目支出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28.29</w:t>
      </w:r>
      <w:r>
        <w:rPr>
          <w:rFonts w:hint="eastAsia" w:ascii="仿宋_GB2312" w:eastAsia="仿宋_GB2312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7.01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Times New Roman" w:eastAsia="黑体" w:cs="黑体"/>
          <w:color w:val="auto"/>
          <w:kern w:val="0"/>
          <w:sz w:val="32"/>
          <w:szCs w:val="32"/>
        </w:rPr>
        <w:t>六、</w:t>
      </w:r>
      <w:r>
        <w:rPr>
          <w:rFonts w:hint="eastAsia" w:ascii="黑体" w:hAnsi="黑体" w:eastAsia="黑体"/>
          <w:color w:val="auto"/>
          <w:sz w:val="32"/>
          <w:szCs w:val="32"/>
        </w:rPr>
        <w:t>一般公共预算支出情况说明</w:t>
      </w:r>
      <w:r>
        <w:rPr>
          <w:rFonts w:ascii="黑体" w:hAnsi="黑体" w:eastAsia="黑体"/>
          <w:color w:val="auto"/>
          <w:sz w:val="32"/>
          <w:szCs w:val="32"/>
        </w:rPr>
        <w:t xml:space="preserve">               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一般公共预算基本支出年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初预算为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375.55</w:t>
      </w:r>
      <w:r>
        <w:rPr>
          <w:rFonts w:hint="eastAsia" w:ascii="仿宋_GB2312" w:eastAsia="仿宋_GB2312"/>
          <w:color w:val="auto"/>
          <w:sz w:val="32"/>
          <w:szCs w:val="32"/>
        </w:rPr>
        <w:t>万元，其中：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人员经费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371.19</w:t>
      </w:r>
      <w:r>
        <w:rPr>
          <w:rFonts w:hint="eastAsia" w:ascii="仿宋_GB2312" w:eastAsia="仿宋_GB2312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98.84</w:t>
      </w:r>
      <w:r>
        <w:rPr>
          <w:rFonts w:hint="eastAsia" w:ascii="仿宋_GB2312" w:eastAsia="仿宋_GB2312"/>
          <w:color w:val="auto"/>
          <w:sz w:val="32"/>
          <w:szCs w:val="32"/>
        </w:rPr>
        <w:t>%；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公用经费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4.36</w:t>
      </w:r>
      <w:r>
        <w:rPr>
          <w:rFonts w:hint="eastAsia" w:ascii="仿宋_GB2312" w:eastAsia="仿宋_GB2312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1.16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七、</w:t>
      </w:r>
      <w:r>
        <w:rPr>
          <w:rFonts w:ascii="黑体" w:hAnsi="Times New Roman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一般公共预算“三公”经费支出情况说明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年“三公</w:t>
      </w:r>
      <w:r>
        <w:rPr>
          <w:rFonts w:hint="eastAsia" w:ascii="仿宋_GB2312" w:eastAsia="仿宋_GB2312"/>
          <w:sz w:val="32"/>
          <w:szCs w:val="32"/>
          <w:lang w:eastAsia="zh-CN"/>
        </w:rPr>
        <w:t>”经费预算为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lang w:eastAsia="zh-CN"/>
        </w:rPr>
        <w:t>万元。202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年“三公”经费支出预算数比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年增加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lang w:eastAsia="zh-CN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元，主要用于单位工作人员公务出国（境）的住宿费、旅费、伙食补助费、杂费、培训费等支出。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因公出国（境）费预算数与</w:t>
      </w:r>
      <w:r>
        <w:rPr>
          <w:rFonts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年相比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。主要原因：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eastAsia="zh-CN"/>
        </w:rPr>
        <w:t>无因公出国（境）费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b w:val="0"/>
          <w:bCs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（二）公务用车购置及运行费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万元，其中，公务用车购置费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万元；公务用车运行维护费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万元，主要用于开展工作所需公务用车的燃料费、维修费、过路过桥费、保险费、安全奖励费用等支出。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公务用车购置费预算数与</w:t>
      </w:r>
      <w:r>
        <w:rPr>
          <w:rFonts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年相比增加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主要原因：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eastAsia="zh-CN"/>
        </w:rPr>
        <w:t>无公务用车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。公务用车运行维护费预算数比</w:t>
      </w:r>
      <w:r>
        <w:rPr>
          <w:rFonts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年</w:t>
      </w:r>
      <w:bookmarkStart w:id="0" w:name="OLE_LINK1"/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增加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万元</w:t>
      </w:r>
      <w:bookmarkEnd w:id="0"/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主要原因：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eastAsia="zh-CN"/>
        </w:rPr>
        <w:t>无公务用车运行维护费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b w:val="0"/>
          <w:bCs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（三）公务接待费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万元，主要用于按规定开支的各类公务接待（含外宾接待）支出。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公务接待费预算数比</w:t>
      </w:r>
      <w:r>
        <w:rPr>
          <w:rFonts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年增加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万元。主要原因：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eastAsia="zh-CN"/>
        </w:rPr>
        <w:t>无公务接待费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八、政府性基金预算支出情况说明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2024年没有使用政府性基金预算拨款安排的支出。</w:t>
      </w:r>
    </w:p>
    <w:p>
      <w:pPr>
        <w:kinsoku w:val="0"/>
        <w:overflowPunct w:val="0"/>
        <w:adjustRightInd w:val="0"/>
        <w:snapToGrid w:val="0"/>
        <w:spacing w:line="360" w:lineRule="auto"/>
        <w:ind w:firstLine="643" w:firstLineChars="200"/>
        <w:jc w:val="left"/>
        <w:rPr>
          <w:rFonts w:ascii="仿宋_GB2312" w:hAnsi="Times New Roman" w:eastAsia="仿宋_GB2312" w:cs="仿宋_GB2312"/>
          <w:b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  <w:lang w:eastAsia="zh-CN"/>
        </w:rPr>
        <w:t>九、</w:t>
      </w: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</w:rPr>
        <w:t>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（一）</w:t>
      </w: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运行经费支出预算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4.89</w:t>
      </w:r>
      <w:r>
        <w:rPr>
          <w:rFonts w:hint="eastAsia" w:ascii="仿宋_GB2312" w:eastAsia="仿宋_GB2312"/>
          <w:sz w:val="32"/>
          <w:szCs w:val="32"/>
        </w:rPr>
        <w:t>万元，主要保障机构正常运行</w:t>
      </w:r>
      <w:r>
        <w:rPr>
          <w:rFonts w:hint="eastAsia" w:ascii="仿宋_GB2312" w:eastAsia="仿宋_GB2312"/>
          <w:sz w:val="32"/>
          <w:szCs w:val="32"/>
          <w:lang w:eastAsia="zh-CN"/>
        </w:rPr>
        <w:t>及正常履职需要所需支出，包括公用经费、公务交通补贴、工会经费、职工福利等。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Times New Roman" w:eastAsia="楷体_GB2312" w:cs="仿宋_GB2312"/>
          <w:b/>
          <w:kern w:val="0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年政府采购预算安排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万元，其中：政府采购货物预算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万元、政府采购工程预算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万元、政府采购服务预算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万元。</w:t>
      </w:r>
    </w:p>
    <w:p>
      <w:pPr>
        <w:kinsoku w:val="0"/>
        <w:overflowPunct w:val="0"/>
        <w:adjustRightInd w:val="0"/>
        <w:snapToGrid w:val="0"/>
        <w:spacing w:line="360" w:lineRule="auto"/>
        <w:ind w:firstLine="482" w:firstLineChars="150"/>
        <w:jc w:val="left"/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（三）</w:t>
      </w:r>
      <w:r>
        <w:rPr>
          <w:rFonts w:hint="eastAsia" w:ascii="仿宋_GB2312" w:hAnsi="Times New Roman" w:eastAsia="仿宋_GB2312" w:cs="仿宋_GB2312"/>
          <w:b/>
          <w:sz w:val="32"/>
          <w:szCs w:val="32"/>
        </w:rPr>
        <w:t>绩效目标</w:t>
      </w:r>
      <w:r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  <w:t>设置情况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ascii="仿宋_GB2312" w:hAnsi="宋体" w:eastAsia="仿宋_GB2312" w:cs="Courier New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我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highlight w:val="none"/>
          <w:lang w:val="en-US" w:eastAsia="zh-CN"/>
        </w:rPr>
        <w:t>2024年预算项目分别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highlight w:val="none"/>
          <w:lang w:eastAsia="zh-CN"/>
        </w:rPr>
        <w:t>从项目产出、项目效益、项目满意度等方面设立了绩效目标，综合反映了预算的数量、质量，社会经济效益、可持续影响及服务对象满意度等情况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highlight w:val="none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（四）国有资产占用情况。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ascii="仿宋_GB2312" w:hAnsi="宋体" w:eastAsia="仿宋_GB2312" w:cs="Courier New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年末，我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共有车辆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辆，其中：一般公务用车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辆、一般执法执勤用车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辆、特种专业技术用车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辆，其他用车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辆，单价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50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万元以上通用设备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台（套），单位价值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100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万元以上专用设备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台（套）。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202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年没有专项转移支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付项目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名词解释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一、财政拨款收入：是指同级财政当年拨付的资金。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三、其他收入：是指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取得的除“财政拨款”、“事业收入”、“事业单位经营收入”等以外的收入。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Courier New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Courier New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 w:cs="Courier New"/>
          <w:sz w:val="32"/>
          <w:szCs w:val="32"/>
        </w:rPr>
        <w:t>、“三公”经费：是指纳入同级财政预算管理，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第四部分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预算表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  <w:r>
        <w:pict>
          <v:shape id="_x0000_i1025" o:spt="75" type="#_x0000_t75" style="height:461.95pt;width:691.45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pict>
          <v:shape id="_x0000_i1026" o:spt="75" type="#_x0000_t75" style="height:195.55pt;width:696.85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pict>
          <v:shape id="_x0000_i1027" o:spt="75" type="#_x0000_t75" style="height:213.85pt;width:697.3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pict>
          <v:shape id="_x0000_i1028" o:spt="75" type="#_x0000_t75" style="height:568.65pt;width:697.3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pict>
          <v:shape id="_x0000_i1029" o:spt="75" type="#_x0000_t75" style="height:215.7pt;width:697.3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pict>
          <v:shape id="_x0000_i1030" o:spt="75" type="#_x0000_t75" style="height:330.95pt;width:697.4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pict>
          <v:shape id="_x0000_i1031" o:spt="75" type="#_x0000_t75" style="height:349.5pt;width:697.2pt;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pict>
          <v:shape id="_x0000_i1032" o:spt="75" type="#_x0000_t75" style="height:170.55pt;width:697.85pt;" filled="f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2240" w:firstLineChars="7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本单位没有一般公共预算“三公”经费支出情况表资金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</w:pPr>
      <w:r>
        <w:pict>
          <v:shape id="_x0000_i1033" o:spt="75" type="#_x0000_t75" style="height:147.9pt;width:697.75pt;" filled="f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jc w:val="center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本单位没有政府性基金预算支出情况表资金</w:t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rPr>
          <w:rFonts w:hint="default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default" w:eastAsia="宋体"/>
          <w:lang w:val="en-US" w:eastAsia="zh-CN"/>
        </w:rPr>
      </w:pPr>
      <w:r>
        <w:pict>
          <v:shape id="_x0000_i1034" o:spt="75" type="#_x0000_t75" style="height:206.75pt;width:697.3pt;" filled="f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hint="default" w:eastAsia="宋体"/>
          <w:lang w:val="en-US" w:eastAsia="zh-CN"/>
        </w:rPr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</w:pPr>
      <w:r>
        <w:pict>
          <v:shape id="_x0000_i1035" o:spt="75" type="#_x0000_t75" style="height:439.6pt;width:698.85pt;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ind w:firstLine="4410" w:firstLineChars="2100"/>
      </w:pPr>
      <w:r>
        <w:rPr>
          <w:rFonts w:hint="eastAsia"/>
          <w:lang w:val="en-US" w:eastAsia="zh-CN"/>
        </w:rPr>
        <w:t>本单位没有部门（单位）整体绩效目标表资金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pict>
          <v:shape id="_x0000_i1036" o:spt="75" type="#_x0000_t75" style="height:188.25pt;width:697.75pt;" filled="f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</w:pict>
      </w:r>
    </w:p>
    <w:sectPr>
      <w:pgSz w:w="16838" w:h="11906" w:orient="landscape"/>
      <w:pgMar w:top="1077" w:right="1440" w:bottom="107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E2796E"/>
    <w:multiLevelType w:val="multilevel"/>
    <w:tmpl w:val="43E2796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E5NDZhNDEyMDNiZmZjNWRhNjNlM2VmMDkyOWI0NTgifQ=="/>
  </w:docVars>
  <w:rsids>
    <w:rsidRoot w:val="006B7E0B"/>
    <w:rsid w:val="00026E9A"/>
    <w:rsid w:val="00044158"/>
    <w:rsid w:val="000445AA"/>
    <w:rsid w:val="000642D8"/>
    <w:rsid w:val="00073592"/>
    <w:rsid w:val="00080DD7"/>
    <w:rsid w:val="00091356"/>
    <w:rsid w:val="000A16EC"/>
    <w:rsid w:val="000A1FF3"/>
    <w:rsid w:val="000A2C68"/>
    <w:rsid w:val="000D2294"/>
    <w:rsid w:val="000E720F"/>
    <w:rsid w:val="000F6C8B"/>
    <w:rsid w:val="0010210A"/>
    <w:rsid w:val="00110824"/>
    <w:rsid w:val="00115771"/>
    <w:rsid w:val="00115915"/>
    <w:rsid w:val="0011799F"/>
    <w:rsid w:val="00135308"/>
    <w:rsid w:val="00142115"/>
    <w:rsid w:val="001422FF"/>
    <w:rsid w:val="001470AF"/>
    <w:rsid w:val="00160C6A"/>
    <w:rsid w:val="0016521F"/>
    <w:rsid w:val="00170A57"/>
    <w:rsid w:val="00172B5F"/>
    <w:rsid w:val="00175E9C"/>
    <w:rsid w:val="00184A45"/>
    <w:rsid w:val="00186BD2"/>
    <w:rsid w:val="00193277"/>
    <w:rsid w:val="001A21DA"/>
    <w:rsid w:val="001A3EB9"/>
    <w:rsid w:val="001B0AF0"/>
    <w:rsid w:val="001D4BA6"/>
    <w:rsid w:val="001D7273"/>
    <w:rsid w:val="001E0093"/>
    <w:rsid w:val="001E0F8C"/>
    <w:rsid w:val="001E7927"/>
    <w:rsid w:val="001F7F9B"/>
    <w:rsid w:val="00200BD7"/>
    <w:rsid w:val="00202EA8"/>
    <w:rsid w:val="002030EF"/>
    <w:rsid w:val="002510C2"/>
    <w:rsid w:val="00265B28"/>
    <w:rsid w:val="0026795F"/>
    <w:rsid w:val="00273D47"/>
    <w:rsid w:val="002750D3"/>
    <w:rsid w:val="0029168C"/>
    <w:rsid w:val="002A620A"/>
    <w:rsid w:val="002B2025"/>
    <w:rsid w:val="002C2A80"/>
    <w:rsid w:val="002C5AAE"/>
    <w:rsid w:val="002E3BE4"/>
    <w:rsid w:val="002E4313"/>
    <w:rsid w:val="002F22D2"/>
    <w:rsid w:val="002F3BB6"/>
    <w:rsid w:val="003352BA"/>
    <w:rsid w:val="00336785"/>
    <w:rsid w:val="00350476"/>
    <w:rsid w:val="0035195B"/>
    <w:rsid w:val="0035776D"/>
    <w:rsid w:val="003843F7"/>
    <w:rsid w:val="00390DEF"/>
    <w:rsid w:val="00392E25"/>
    <w:rsid w:val="003A0434"/>
    <w:rsid w:val="003A2DF5"/>
    <w:rsid w:val="003A6F18"/>
    <w:rsid w:val="003C5F21"/>
    <w:rsid w:val="003D744D"/>
    <w:rsid w:val="003E56DE"/>
    <w:rsid w:val="00401345"/>
    <w:rsid w:val="00404663"/>
    <w:rsid w:val="00420855"/>
    <w:rsid w:val="00432539"/>
    <w:rsid w:val="00451611"/>
    <w:rsid w:val="0047756A"/>
    <w:rsid w:val="00494F22"/>
    <w:rsid w:val="00495611"/>
    <w:rsid w:val="00495CEB"/>
    <w:rsid w:val="00496B7C"/>
    <w:rsid w:val="004974DC"/>
    <w:rsid w:val="004A35D2"/>
    <w:rsid w:val="004A4265"/>
    <w:rsid w:val="004A7AF2"/>
    <w:rsid w:val="004B1819"/>
    <w:rsid w:val="004C001F"/>
    <w:rsid w:val="004C13EB"/>
    <w:rsid w:val="004D5B4E"/>
    <w:rsid w:val="004F068A"/>
    <w:rsid w:val="004F1BCB"/>
    <w:rsid w:val="004F3DF3"/>
    <w:rsid w:val="00511219"/>
    <w:rsid w:val="00521104"/>
    <w:rsid w:val="0052193A"/>
    <w:rsid w:val="00523976"/>
    <w:rsid w:val="0054046E"/>
    <w:rsid w:val="00556950"/>
    <w:rsid w:val="00563E46"/>
    <w:rsid w:val="00567364"/>
    <w:rsid w:val="00577C4A"/>
    <w:rsid w:val="00577F81"/>
    <w:rsid w:val="00591F1A"/>
    <w:rsid w:val="00593810"/>
    <w:rsid w:val="00594E25"/>
    <w:rsid w:val="005B1D55"/>
    <w:rsid w:val="005B5A00"/>
    <w:rsid w:val="005C4D0C"/>
    <w:rsid w:val="005D1138"/>
    <w:rsid w:val="005D30D9"/>
    <w:rsid w:val="00600B18"/>
    <w:rsid w:val="0060297E"/>
    <w:rsid w:val="0064056E"/>
    <w:rsid w:val="00647DE6"/>
    <w:rsid w:val="00662E14"/>
    <w:rsid w:val="00666AC4"/>
    <w:rsid w:val="0067124D"/>
    <w:rsid w:val="00672799"/>
    <w:rsid w:val="00680781"/>
    <w:rsid w:val="006B1909"/>
    <w:rsid w:val="006B49B5"/>
    <w:rsid w:val="006B7E0B"/>
    <w:rsid w:val="006C3CD3"/>
    <w:rsid w:val="006C7564"/>
    <w:rsid w:val="006D6D49"/>
    <w:rsid w:val="006E4BF1"/>
    <w:rsid w:val="006F5265"/>
    <w:rsid w:val="006F5EEE"/>
    <w:rsid w:val="00700744"/>
    <w:rsid w:val="0071044E"/>
    <w:rsid w:val="00730F26"/>
    <w:rsid w:val="0073591F"/>
    <w:rsid w:val="007541DA"/>
    <w:rsid w:val="007656BD"/>
    <w:rsid w:val="007740BF"/>
    <w:rsid w:val="007829BC"/>
    <w:rsid w:val="0079641C"/>
    <w:rsid w:val="007B5898"/>
    <w:rsid w:val="007C1DF1"/>
    <w:rsid w:val="007C2AA9"/>
    <w:rsid w:val="007C788C"/>
    <w:rsid w:val="007E6790"/>
    <w:rsid w:val="007F7E98"/>
    <w:rsid w:val="00804322"/>
    <w:rsid w:val="008043D9"/>
    <w:rsid w:val="008122D8"/>
    <w:rsid w:val="00812F5C"/>
    <w:rsid w:val="00820FF9"/>
    <w:rsid w:val="00830E30"/>
    <w:rsid w:val="00833702"/>
    <w:rsid w:val="00833DBE"/>
    <w:rsid w:val="00850CE1"/>
    <w:rsid w:val="00852299"/>
    <w:rsid w:val="00860A29"/>
    <w:rsid w:val="00874331"/>
    <w:rsid w:val="00891536"/>
    <w:rsid w:val="0089458A"/>
    <w:rsid w:val="00894D24"/>
    <w:rsid w:val="00897148"/>
    <w:rsid w:val="008B72D5"/>
    <w:rsid w:val="008C14BF"/>
    <w:rsid w:val="008C7AD8"/>
    <w:rsid w:val="008D01B3"/>
    <w:rsid w:val="008D6560"/>
    <w:rsid w:val="008E07B1"/>
    <w:rsid w:val="008E4459"/>
    <w:rsid w:val="00923B00"/>
    <w:rsid w:val="009242BF"/>
    <w:rsid w:val="00926E26"/>
    <w:rsid w:val="00943D7C"/>
    <w:rsid w:val="00944A2D"/>
    <w:rsid w:val="00951DEF"/>
    <w:rsid w:val="00952BFE"/>
    <w:rsid w:val="009821A1"/>
    <w:rsid w:val="00987FE0"/>
    <w:rsid w:val="009A520C"/>
    <w:rsid w:val="009B7A51"/>
    <w:rsid w:val="00A216E6"/>
    <w:rsid w:val="00A330EC"/>
    <w:rsid w:val="00A34341"/>
    <w:rsid w:val="00A35A79"/>
    <w:rsid w:val="00A46E26"/>
    <w:rsid w:val="00A503E7"/>
    <w:rsid w:val="00A52337"/>
    <w:rsid w:val="00A52801"/>
    <w:rsid w:val="00A6267D"/>
    <w:rsid w:val="00A727EB"/>
    <w:rsid w:val="00A87DCF"/>
    <w:rsid w:val="00A90D9E"/>
    <w:rsid w:val="00A96CAF"/>
    <w:rsid w:val="00AC3C61"/>
    <w:rsid w:val="00AE549A"/>
    <w:rsid w:val="00B02CB9"/>
    <w:rsid w:val="00B10D6F"/>
    <w:rsid w:val="00B20C5F"/>
    <w:rsid w:val="00B21967"/>
    <w:rsid w:val="00B61D47"/>
    <w:rsid w:val="00B95A06"/>
    <w:rsid w:val="00BA362F"/>
    <w:rsid w:val="00BA4FA7"/>
    <w:rsid w:val="00BA58CE"/>
    <w:rsid w:val="00BA7185"/>
    <w:rsid w:val="00BB6662"/>
    <w:rsid w:val="00BC333E"/>
    <w:rsid w:val="00BE56FB"/>
    <w:rsid w:val="00BE716F"/>
    <w:rsid w:val="00C33C76"/>
    <w:rsid w:val="00C34784"/>
    <w:rsid w:val="00C435CB"/>
    <w:rsid w:val="00C436B8"/>
    <w:rsid w:val="00C437E8"/>
    <w:rsid w:val="00C831C5"/>
    <w:rsid w:val="00C83F94"/>
    <w:rsid w:val="00CA2F8F"/>
    <w:rsid w:val="00CA7ADA"/>
    <w:rsid w:val="00CB5AAE"/>
    <w:rsid w:val="00CB6DF5"/>
    <w:rsid w:val="00CD03AD"/>
    <w:rsid w:val="00CE3259"/>
    <w:rsid w:val="00CF1B5A"/>
    <w:rsid w:val="00D05ED0"/>
    <w:rsid w:val="00D12D03"/>
    <w:rsid w:val="00D137BC"/>
    <w:rsid w:val="00D15C54"/>
    <w:rsid w:val="00D23117"/>
    <w:rsid w:val="00D32932"/>
    <w:rsid w:val="00D43363"/>
    <w:rsid w:val="00D4466F"/>
    <w:rsid w:val="00D46069"/>
    <w:rsid w:val="00D53D97"/>
    <w:rsid w:val="00D609B7"/>
    <w:rsid w:val="00D6792C"/>
    <w:rsid w:val="00D8037E"/>
    <w:rsid w:val="00D8505C"/>
    <w:rsid w:val="00DA0C53"/>
    <w:rsid w:val="00DA0CAA"/>
    <w:rsid w:val="00DA458E"/>
    <w:rsid w:val="00DA6E83"/>
    <w:rsid w:val="00DB68B2"/>
    <w:rsid w:val="00DC0C6B"/>
    <w:rsid w:val="00DC3D97"/>
    <w:rsid w:val="00DC6FBB"/>
    <w:rsid w:val="00DC798D"/>
    <w:rsid w:val="00DF0DA6"/>
    <w:rsid w:val="00DF3140"/>
    <w:rsid w:val="00E133A9"/>
    <w:rsid w:val="00E20A7D"/>
    <w:rsid w:val="00E20E6F"/>
    <w:rsid w:val="00E21F3E"/>
    <w:rsid w:val="00E31EE0"/>
    <w:rsid w:val="00E33EBB"/>
    <w:rsid w:val="00E36AE5"/>
    <w:rsid w:val="00E371FE"/>
    <w:rsid w:val="00E3795E"/>
    <w:rsid w:val="00E37B7D"/>
    <w:rsid w:val="00E57174"/>
    <w:rsid w:val="00E57C5A"/>
    <w:rsid w:val="00E607D3"/>
    <w:rsid w:val="00E72785"/>
    <w:rsid w:val="00E776E0"/>
    <w:rsid w:val="00E913EB"/>
    <w:rsid w:val="00EC2B0B"/>
    <w:rsid w:val="00ED5B3D"/>
    <w:rsid w:val="00EE543C"/>
    <w:rsid w:val="00EF42A2"/>
    <w:rsid w:val="00F0089D"/>
    <w:rsid w:val="00F2113A"/>
    <w:rsid w:val="00F2137C"/>
    <w:rsid w:val="00F4533D"/>
    <w:rsid w:val="00F51FB3"/>
    <w:rsid w:val="00F754BD"/>
    <w:rsid w:val="00F77A8C"/>
    <w:rsid w:val="00F950F8"/>
    <w:rsid w:val="00FA0A5A"/>
    <w:rsid w:val="00FB158E"/>
    <w:rsid w:val="00FD0777"/>
    <w:rsid w:val="00FD6C1F"/>
    <w:rsid w:val="00FD729D"/>
    <w:rsid w:val="01AE15BA"/>
    <w:rsid w:val="03102764"/>
    <w:rsid w:val="04494535"/>
    <w:rsid w:val="05532A0D"/>
    <w:rsid w:val="09FC5255"/>
    <w:rsid w:val="0A7A4A29"/>
    <w:rsid w:val="0C585A5E"/>
    <w:rsid w:val="0C8A0AF9"/>
    <w:rsid w:val="0E870FE8"/>
    <w:rsid w:val="10460222"/>
    <w:rsid w:val="116E412F"/>
    <w:rsid w:val="11BA1F73"/>
    <w:rsid w:val="1424321C"/>
    <w:rsid w:val="14B962E5"/>
    <w:rsid w:val="14C740E8"/>
    <w:rsid w:val="16C60A2A"/>
    <w:rsid w:val="187C254A"/>
    <w:rsid w:val="189C68A9"/>
    <w:rsid w:val="18BB2EF2"/>
    <w:rsid w:val="1A0C4C78"/>
    <w:rsid w:val="1AA05907"/>
    <w:rsid w:val="1AA556D9"/>
    <w:rsid w:val="1B7010B3"/>
    <w:rsid w:val="1E107DD1"/>
    <w:rsid w:val="1E696778"/>
    <w:rsid w:val="212F08F5"/>
    <w:rsid w:val="214100E4"/>
    <w:rsid w:val="243A00DC"/>
    <w:rsid w:val="26C41825"/>
    <w:rsid w:val="26D60D8B"/>
    <w:rsid w:val="275814FC"/>
    <w:rsid w:val="28A165FA"/>
    <w:rsid w:val="291B7DB9"/>
    <w:rsid w:val="2B0E422E"/>
    <w:rsid w:val="2BC2096A"/>
    <w:rsid w:val="2C35005E"/>
    <w:rsid w:val="2CB847EB"/>
    <w:rsid w:val="2E112405"/>
    <w:rsid w:val="2E5859B2"/>
    <w:rsid w:val="2F9652B7"/>
    <w:rsid w:val="2FC73D1B"/>
    <w:rsid w:val="3171432E"/>
    <w:rsid w:val="33EF31E8"/>
    <w:rsid w:val="35610116"/>
    <w:rsid w:val="3AFC4698"/>
    <w:rsid w:val="3B007A89"/>
    <w:rsid w:val="3B9974D3"/>
    <w:rsid w:val="3BE53FB2"/>
    <w:rsid w:val="3EBF7D18"/>
    <w:rsid w:val="3F7140F5"/>
    <w:rsid w:val="3FEC3BE7"/>
    <w:rsid w:val="418C3E08"/>
    <w:rsid w:val="41BE5B61"/>
    <w:rsid w:val="43D62EB7"/>
    <w:rsid w:val="46040989"/>
    <w:rsid w:val="461F2265"/>
    <w:rsid w:val="49290AF3"/>
    <w:rsid w:val="4A0230F9"/>
    <w:rsid w:val="4B911B6E"/>
    <w:rsid w:val="4BCA036B"/>
    <w:rsid w:val="4C716343"/>
    <w:rsid w:val="50BD049E"/>
    <w:rsid w:val="52220CA5"/>
    <w:rsid w:val="54A35BFD"/>
    <w:rsid w:val="55ED6C72"/>
    <w:rsid w:val="560A4324"/>
    <w:rsid w:val="5AD00965"/>
    <w:rsid w:val="5B131D9A"/>
    <w:rsid w:val="5B15253F"/>
    <w:rsid w:val="5C9B365E"/>
    <w:rsid w:val="5E6B13F1"/>
    <w:rsid w:val="62874A1F"/>
    <w:rsid w:val="648022AD"/>
    <w:rsid w:val="66162EFB"/>
    <w:rsid w:val="685B1BE5"/>
    <w:rsid w:val="69DD56A7"/>
    <w:rsid w:val="6ADE12E5"/>
    <w:rsid w:val="6B1E16E2"/>
    <w:rsid w:val="6C655675"/>
    <w:rsid w:val="6C7A37B3"/>
    <w:rsid w:val="6EFF7D17"/>
    <w:rsid w:val="6F184487"/>
    <w:rsid w:val="6FD92FCC"/>
    <w:rsid w:val="72AD26A4"/>
    <w:rsid w:val="72BA4DCB"/>
    <w:rsid w:val="749D5D6D"/>
    <w:rsid w:val="76564134"/>
    <w:rsid w:val="768A5887"/>
    <w:rsid w:val="774207F9"/>
    <w:rsid w:val="775A0D5E"/>
    <w:rsid w:val="79111DCE"/>
    <w:rsid w:val="795D3D1D"/>
    <w:rsid w:val="7AB15C2D"/>
    <w:rsid w:val="7CF33AE1"/>
    <w:rsid w:val="7DCC7AD0"/>
    <w:rsid w:val="7F28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autoRedefine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8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autoRedefine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link w:val="4"/>
    <w:autoRedefine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link w:val="5"/>
    <w:autoRedefine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纯文本 Char"/>
    <w:link w:val="2"/>
    <w:autoRedefine/>
    <w:semiHidden/>
    <w:qFormat/>
    <w:locked/>
    <w:uiPriority w:val="99"/>
    <w:rPr>
      <w:rFonts w:ascii="宋体" w:hAnsi="Courier New" w:cs="Courier New"/>
      <w:sz w:val="21"/>
      <w:szCs w:val="21"/>
    </w:rPr>
  </w:style>
  <w:style w:type="paragraph" w:customStyle="1" w:styleId="12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24</Pages>
  <Words>2643</Words>
  <Characters>2837</Characters>
  <Lines>30</Lines>
  <Paragraphs>8</Paragraphs>
  <TotalTime>3</TotalTime>
  <ScaleCrop>false</ScaleCrop>
  <LinksUpToDate>false</LinksUpToDate>
  <CharactersWithSpaces>3002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2019-06-11T00:19:00Z</dcterms:created>
  <dc:creator>lenovo</dc:creator>
  <cp:lastModifiedBy>蓝天白云</cp:lastModifiedBy>
  <cp:lastPrinted>2021-04-16T07:34:00Z</cp:lastPrinted>
  <dcterms:modified xsi:type="dcterms:W3CDTF">2024-03-18T06:41:02Z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97D0D5BCA2FF4A6CBD5543D35C04A45B</vt:lpwstr>
  </property>
</Properties>
</file>