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小标宋简体" w:hAnsi="Times New Roman" w:eastAsia="方正小标宋简体"/>
          <w:b/>
          <w:sz w:val="72"/>
          <w:szCs w:val="72"/>
        </w:rPr>
      </w:pPr>
    </w:p>
    <w:p>
      <w:pPr>
        <w:adjustRightInd w:val="0"/>
        <w:snapToGrid w:val="0"/>
        <w:spacing w:line="360" w:lineRule="auto"/>
        <w:jc w:val="center"/>
        <w:rPr>
          <w:rFonts w:ascii="宋体" w:hAnsi="宋体"/>
          <w:b/>
          <w:sz w:val="72"/>
          <w:szCs w:val="72"/>
        </w:rPr>
      </w:pPr>
      <w:r>
        <w:rPr>
          <w:rFonts w:hint="eastAsia" w:ascii="宋体" w:hAnsi="宋体"/>
          <w:b/>
          <w:sz w:val="72"/>
          <w:szCs w:val="72"/>
        </w:rPr>
        <w:t>龙安区城市管理行政执法局</w:t>
      </w:r>
    </w:p>
    <w:p>
      <w:pPr>
        <w:adjustRightInd w:val="0"/>
        <w:snapToGrid w:val="0"/>
        <w:spacing w:line="360" w:lineRule="auto"/>
        <w:jc w:val="center"/>
        <w:rPr>
          <w:rFonts w:ascii="宋体" w:hAnsi="宋体"/>
          <w:b/>
          <w:sz w:val="72"/>
          <w:szCs w:val="72"/>
        </w:rPr>
      </w:pPr>
      <w:r>
        <w:rPr>
          <w:rFonts w:ascii="宋体" w:hAnsi="宋体"/>
          <w:b/>
          <w:sz w:val="72"/>
          <w:szCs w:val="72"/>
        </w:rPr>
        <w:t>20</w:t>
      </w:r>
      <w:r>
        <w:rPr>
          <w:rFonts w:hint="eastAsia" w:ascii="宋体" w:hAnsi="宋体"/>
          <w:b/>
          <w:sz w:val="72"/>
          <w:szCs w:val="72"/>
        </w:rPr>
        <w:t>24年度部门预算公开说明</w:t>
      </w:r>
    </w:p>
    <w:p>
      <w:pPr>
        <w:adjustRightInd w:val="0"/>
        <w:snapToGrid w:val="0"/>
        <w:spacing w:line="360" w:lineRule="auto"/>
        <w:jc w:val="center"/>
        <w:rPr>
          <w:rFonts w:ascii="方正小标宋简体" w:hAnsi="Times New Roman" w:eastAsia="方正小标宋简体"/>
          <w:b/>
          <w:sz w:val="84"/>
          <w:szCs w:val="84"/>
        </w:rPr>
      </w:pPr>
    </w:p>
    <w:p>
      <w:pPr>
        <w:adjustRightInd w:val="0"/>
        <w:snapToGrid w:val="0"/>
        <w:spacing w:line="360" w:lineRule="auto"/>
        <w:jc w:val="center"/>
        <w:rPr>
          <w:rFonts w:ascii="方正小标宋简体" w:hAnsi="Times New Roman" w:eastAsia="方正小标宋简体"/>
          <w:b/>
          <w:sz w:val="84"/>
          <w:szCs w:val="84"/>
        </w:rPr>
      </w:pPr>
    </w:p>
    <w:p>
      <w:pPr>
        <w:adjustRightInd w:val="0"/>
        <w:snapToGrid w:val="0"/>
        <w:spacing w:line="360" w:lineRule="auto"/>
        <w:rPr>
          <w:rFonts w:ascii="方正小标宋简体" w:hAnsi="Times New Roman" w:eastAsia="方正小标宋简体"/>
          <w:b/>
          <w:sz w:val="84"/>
          <w:szCs w:val="84"/>
        </w:rPr>
      </w:pPr>
    </w:p>
    <w:p>
      <w:pPr>
        <w:kinsoku w:val="0"/>
        <w:overflowPunct w:val="0"/>
        <w:adjustRightInd w:val="0"/>
        <w:snapToGrid w:val="0"/>
        <w:spacing w:line="360" w:lineRule="auto"/>
        <w:ind w:left="101" w:leftChars="48" w:right="-58" w:firstLine="2831" w:firstLineChars="641"/>
        <w:rPr>
          <w:rFonts w:ascii="宋体" w:hAnsi="宋体"/>
          <w:b/>
          <w:sz w:val="44"/>
          <w:szCs w:val="44"/>
        </w:rPr>
      </w:pPr>
      <w:r>
        <w:rPr>
          <w:rFonts w:hint="eastAsia" w:ascii="宋体" w:hAnsi="宋体"/>
          <w:b/>
          <w:sz w:val="44"/>
          <w:szCs w:val="44"/>
        </w:rPr>
        <w:t>2024年3月 19 日</w:t>
      </w: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pPr>
        <w:kinsoku w:val="0"/>
        <w:overflowPunct w:val="0"/>
        <w:adjustRightInd w:val="0"/>
        <w:snapToGrid w:val="0"/>
        <w:spacing w:line="360" w:lineRule="auto"/>
        <w:rPr>
          <w:rFonts w:ascii="黑体" w:hAnsi="Times New Roman" w:eastAsia="黑体" w:cs="黑体"/>
          <w:sz w:val="56"/>
          <w:szCs w:val="56"/>
        </w:rPr>
      </w:pP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r>
        <w:rPr>
          <w:rFonts w:hint="eastAsia" w:ascii="黑体" w:hAnsi="Times New Roman" w:eastAsia="黑体" w:cs="黑体"/>
          <w:sz w:val="56"/>
          <w:szCs w:val="56"/>
        </w:rPr>
        <w:t>目  录</w:t>
      </w:r>
    </w:p>
    <w:p>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第一部分</w:t>
      </w:r>
      <w:r>
        <w:rPr>
          <w:rFonts w:ascii="黑体" w:hAnsi="Times New Roman" w:eastAsia="黑体" w:cs="黑体"/>
          <w:sz w:val="32"/>
          <w:szCs w:val="32"/>
        </w:rPr>
        <w:t xml:space="preserve">  </w:t>
      </w:r>
      <w:r>
        <w:rPr>
          <w:rFonts w:hint="eastAsia" w:ascii="黑体" w:hAnsi="黑体" w:eastAsia="黑体"/>
          <w:sz w:val="32"/>
          <w:szCs w:val="32"/>
        </w:rPr>
        <w:t>部门</w:t>
      </w:r>
      <w:r>
        <w:rPr>
          <w:rFonts w:hint="eastAsia" w:ascii="黑体" w:hAnsi="Times New Roman" w:eastAsia="黑体" w:cs="黑体"/>
          <w:sz w:val="32"/>
          <w:szCs w:val="32"/>
        </w:rPr>
        <w:t>概况</w:t>
      </w:r>
    </w:p>
    <w:p>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第二部分</w:t>
      </w:r>
      <w:r>
        <w:rPr>
          <w:rFonts w:ascii="黑体" w:hAnsi="Times New Roman" w:eastAsia="黑体" w:cs="黑体"/>
          <w:sz w:val="32"/>
          <w:szCs w:val="32"/>
        </w:rPr>
        <w:t xml:space="preserve"> </w:t>
      </w:r>
      <w:r>
        <w:rPr>
          <w:rFonts w:hint="eastAsia" w:ascii="黑体" w:hAnsi="Times New Roman" w:eastAsia="黑体" w:cs="黑体"/>
          <w:sz w:val="32"/>
          <w:szCs w:val="32"/>
        </w:rPr>
        <w:t xml:space="preserve"> </w:t>
      </w:r>
      <w:r>
        <w:rPr>
          <w:rFonts w:ascii="黑体" w:hAnsi="Times New Roman" w:eastAsia="黑体" w:cs="黑体"/>
          <w:sz w:val="32"/>
          <w:szCs w:val="32"/>
        </w:rPr>
        <w:t>20</w:t>
      </w:r>
      <w:r>
        <w:rPr>
          <w:rFonts w:hint="eastAsia" w:ascii="黑体" w:hAnsi="Times New Roman" w:eastAsia="黑体" w:cs="黑体"/>
          <w:sz w:val="32"/>
          <w:szCs w:val="32"/>
        </w:rPr>
        <w:t>24年度部门预算情况说明</w:t>
      </w:r>
    </w:p>
    <w:p>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一、部门收支总体情况说明</w:t>
      </w:r>
    </w:p>
    <w:p>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二、部门收入总体情况说明</w:t>
      </w:r>
    </w:p>
    <w:p>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三、部门支出总体情况说明</w:t>
      </w:r>
    </w:p>
    <w:p>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四、财政拨款收支总体情况说明</w:t>
      </w:r>
    </w:p>
    <w:p>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五、一般公共预算支出情况说明</w:t>
      </w:r>
    </w:p>
    <w:p>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六、一般公共预算基本支出情况说明</w:t>
      </w:r>
    </w:p>
    <w:p>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七、一般公共预算“三公”经费支出预算情况说明</w:t>
      </w:r>
    </w:p>
    <w:p>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八、政府性基金预算支出情况说明</w:t>
      </w:r>
    </w:p>
    <w:p>
      <w:pPr>
        <w:kinsoku w:val="0"/>
        <w:overflowPunct w:val="0"/>
        <w:adjustRightInd w:val="0"/>
        <w:snapToGrid w:val="0"/>
        <w:spacing w:line="360" w:lineRule="auto"/>
        <w:ind w:firstLine="960" w:firstLineChars="300"/>
        <w:jc w:val="left"/>
        <w:rPr>
          <w:rFonts w:ascii="仿宋_GB2312" w:eastAsia="仿宋_GB2312"/>
          <w:b/>
          <w:color w:val="000000"/>
          <w:sz w:val="32"/>
          <w:szCs w:val="32"/>
          <w:shd w:val="clear" w:color="auto" w:fill="FFFFFF"/>
        </w:rPr>
      </w:pPr>
      <w:r>
        <w:rPr>
          <w:rFonts w:hint="eastAsia" w:ascii="仿宋_GB2312" w:hAnsi="Times New Roman" w:eastAsia="仿宋_GB2312" w:cs="仿宋_GB2312"/>
          <w:sz w:val="32"/>
          <w:szCs w:val="32"/>
        </w:rPr>
        <w:t>九、</w:t>
      </w:r>
      <w:r>
        <w:rPr>
          <w:rFonts w:hint="eastAsia" w:ascii="仿宋_GB2312" w:eastAsia="仿宋_GB2312"/>
          <w:color w:val="000000"/>
          <w:sz w:val="32"/>
          <w:szCs w:val="32"/>
          <w:shd w:val="clear" w:color="auto" w:fill="FFFFFF"/>
        </w:rPr>
        <w:t>其他重要事项的情况说明</w:t>
      </w:r>
    </w:p>
    <w:p>
      <w:pPr>
        <w:kinsoku w:val="0"/>
        <w:overflowPunct w:val="0"/>
        <w:adjustRightInd w:val="0"/>
        <w:snapToGrid w:val="0"/>
        <w:spacing w:line="360" w:lineRule="auto"/>
        <w:ind w:firstLine="640" w:firstLineChars="200"/>
        <w:jc w:val="left"/>
        <w:rPr>
          <w:rFonts w:ascii="黑体" w:hAnsi="Times New Roman" w:eastAsia="黑体" w:cs="黑体"/>
          <w:sz w:val="32"/>
          <w:szCs w:val="32"/>
        </w:rPr>
      </w:pPr>
      <w:r>
        <w:rPr>
          <w:rFonts w:hint="eastAsia" w:ascii="黑体" w:hAnsi="Times New Roman" w:eastAsia="黑体" w:cs="黑体"/>
          <w:sz w:val="32"/>
          <w:szCs w:val="32"/>
        </w:rPr>
        <w:t xml:space="preserve">第三部分  </w:t>
      </w:r>
      <w:r>
        <w:rPr>
          <w:rFonts w:hint="eastAsia" w:ascii="黑体" w:hAnsi="Times New Roman" w:eastAsia="黑体" w:cs="黑体"/>
          <w:spacing w:val="-32"/>
          <w:sz w:val="32"/>
          <w:szCs w:val="32"/>
        </w:rPr>
        <w:t>名词解释</w:t>
      </w:r>
    </w:p>
    <w:p>
      <w:pPr>
        <w:kinsoku w:val="0"/>
        <w:overflowPunct w:val="0"/>
        <w:adjustRightInd w:val="0"/>
        <w:snapToGrid w:val="0"/>
        <w:spacing w:line="360" w:lineRule="auto"/>
        <w:ind w:firstLine="630"/>
        <w:rPr>
          <w:rFonts w:ascii="黑体" w:hAnsi="Times New Roman" w:eastAsia="黑体" w:cs="黑体"/>
          <w:sz w:val="32"/>
          <w:szCs w:val="32"/>
        </w:rPr>
      </w:pPr>
      <w:r>
        <w:rPr>
          <w:rFonts w:hint="eastAsia" w:ascii="黑体" w:hAnsi="Times New Roman" w:eastAsia="黑体" w:cs="黑体"/>
          <w:sz w:val="32"/>
          <w:szCs w:val="32"/>
        </w:rPr>
        <w:t xml:space="preserve">第四部分  </w:t>
      </w:r>
      <w:r>
        <w:rPr>
          <w:rFonts w:hint="eastAsia" w:ascii="黑体" w:hAnsi="黑体" w:eastAsia="黑体"/>
          <w:sz w:val="32"/>
          <w:szCs w:val="32"/>
        </w:rPr>
        <w:t>附件</w:t>
      </w:r>
      <w:r>
        <w:rPr>
          <w:rFonts w:ascii="黑体" w:hAnsi="Times New Roman" w:eastAsia="黑体" w:cs="黑体"/>
          <w:sz w:val="32"/>
          <w:szCs w:val="32"/>
        </w:rPr>
        <w:t>20</w:t>
      </w:r>
      <w:r>
        <w:rPr>
          <w:rFonts w:hint="eastAsia" w:ascii="黑体" w:hAnsi="Times New Roman" w:eastAsia="黑体" w:cs="黑体"/>
          <w:sz w:val="32"/>
          <w:szCs w:val="32"/>
        </w:rPr>
        <w:t>24年度部门预算表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部门收入预算表</w:t>
      </w:r>
    </w:p>
    <w:p>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 w:hAnsi="仿宋" w:eastAsia="仿宋" w:cs="仿宋"/>
          <w:sz w:val="30"/>
          <w:szCs w:val="30"/>
        </w:rPr>
        <w:t>一般公共预算基本支出表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 w:hAnsi="仿宋" w:eastAsia="仿宋" w:cs="仿宋"/>
          <w:sz w:val="30"/>
          <w:szCs w:val="30"/>
        </w:rPr>
        <w:t>支出经济分类汇总表</w:t>
      </w:r>
    </w:p>
    <w:p>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八、</w:t>
      </w:r>
      <w:r>
        <w:rPr>
          <w:rFonts w:hint="eastAsia" w:ascii="仿宋" w:hAnsi="仿宋" w:eastAsia="仿宋" w:cs="仿宋"/>
          <w:sz w:val="30"/>
          <w:szCs w:val="30"/>
        </w:rPr>
        <w:t>一般公共预算“三公”经费预算表</w:t>
      </w:r>
    </w:p>
    <w:p>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eastAsia="仿宋_GB2312"/>
          <w:sz w:val="32"/>
          <w:szCs w:val="32"/>
        </w:rPr>
        <w:t>九、</w:t>
      </w:r>
      <w:r>
        <w:rPr>
          <w:rFonts w:hint="eastAsia" w:ascii="仿宋" w:hAnsi="仿宋" w:eastAsia="仿宋" w:cs="仿宋"/>
          <w:sz w:val="30"/>
          <w:szCs w:val="30"/>
        </w:rPr>
        <w:t>政府性基金预算支出预算表</w:t>
      </w:r>
    </w:p>
    <w:p>
      <w:pPr>
        <w:kinsoku w:val="0"/>
        <w:overflowPunct w:val="0"/>
        <w:adjustRightInd w:val="0"/>
        <w:snapToGrid w:val="0"/>
        <w:spacing w:line="360" w:lineRule="auto"/>
        <w:ind w:right="51" w:firstLine="960" w:firstLineChars="300"/>
        <w:jc w:val="left"/>
        <w:rPr>
          <w:rFonts w:ascii="仿宋" w:hAnsi="仿宋" w:eastAsia="仿宋" w:cs="仿宋"/>
          <w:sz w:val="30"/>
          <w:szCs w:val="30"/>
        </w:rPr>
      </w:pPr>
      <w:r>
        <w:rPr>
          <w:rFonts w:hint="eastAsia" w:ascii="仿宋_GB2312" w:eastAsia="仿宋_GB2312"/>
          <w:sz w:val="32"/>
          <w:szCs w:val="32"/>
        </w:rPr>
        <w:t>十、</w:t>
      </w:r>
      <w:r>
        <w:rPr>
          <w:rFonts w:hint="eastAsia" w:ascii="仿宋" w:hAnsi="仿宋" w:eastAsia="仿宋" w:cs="仿宋"/>
          <w:sz w:val="30"/>
          <w:szCs w:val="30"/>
        </w:rPr>
        <w:t>项目支出预算表</w:t>
      </w:r>
    </w:p>
    <w:p>
      <w:pPr>
        <w:kinsoku w:val="0"/>
        <w:overflowPunct w:val="0"/>
        <w:adjustRightInd w:val="0"/>
        <w:snapToGrid w:val="0"/>
        <w:spacing w:line="360" w:lineRule="auto"/>
        <w:ind w:right="51" w:firstLine="900" w:firstLineChars="300"/>
        <w:jc w:val="left"/>
        <w:rPr>
          <w:rFonts w:ascii="仿宋" w:hAnsi="仿宋" w:eastAsia="仿宋" w:cs="仿宋"/>
          <w:sz w:val="30"/>
          <w:szCs w:val="30"/>
        </w:rPr>
      </w:pPr>
      <w:r>
        <w:rPr>
          <w:rFonts w:hint="eastAsia" w:ascii="仿宋" w:hAnsi="仿宋" w:eastAsia="仿宋" w:cs="仿宋"/>
          <w:sz w:val="30"/>
          <w:szCs w:val="30"/>
        </w:rPr>
        <w:t>十一、部门整体绩效目标表</w:t>
      </w:r>
    </w:p>
    <w:p>
      <w:pPr>
        <w:kinsoku w:val="0"/>
        <w:overflowPunct w:val="0"/>
        <w:adjustRightInd w:val="0"/>
        <w:snapToGrid w:val="0"/>
        <w:spacing w:line="360" w:lineRule="auto"/>
        <w:ind w:right="51" w:firstLine="900" w:firstLineChars="300"/>
        <w:jc w:val="left"/>
        <w:rPr>
          <w:rFonts w:ascii="仿宋" w:hAnsi="仿宋" w:eastAsia="仿宋" w:cs="仿宋"/>
          <w:sz w:val="30"/>
          <w:szCs w:val="30"/>
        </w:rPr>
      </w:pPr>
      <w:r>
        <w:rPr>
          <w:rFonts w:hint="eastAsia" w:ascii="仿宋" w:hAnsi="仿宋" w:eastAsia="仿宋" w:cs="仿宋"/>
          <w:sz w:val="30"/>
          <w:szCs w:val="30"/>
        </w:rPr>
        <w:t>十二、部门预算项目绩效目标表</w:t>
      </w:r>
    </w:p>
    <w:p>
      <w:pPr>
        <w:kinsoku w:val="0"/>
        <w:overflowPunct w:val="0"/>
        <w:adjustRightInd w:val="0"/>
        <w:snapToGrid w:val="0"/>
        <w:spacing w:line="360" w:lineRule="auto"/>
        <w:ind w:right="51" w:firstLine="900" w:firstLineChars="300"/>
        <w:jc w:val="left"/>
        <w:rPr>
          <w:rFonts w:ascii="仿宋" w:hAnsi="仿宋" w:eastAsia="仿宋" w:cs="仿宋"/>
          <w:sz w:val="30"/>
          <w:szCs w:val="30"/>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jc w:val="left"/>
        <w:rPr>
          <w:rFonts w:ascii="仿宋_GB2312" w:eastAsia="仿宋_GB2312"/>
          <w:sz w:val="32"/>
          <w:szCs w:val="32"/>
        </w:rPr>
      </w:pPr>
    </w:p>
    <w:p>
      <w:pPr>
        <w:adjustRightInd w:val="0"/>
        <w:snapToGrid w:val="0"/>
        <w:spacing w:line="360" w:lineRule="auto"/>
        <w:jc w:val="center"/>
        <w:rPr>
          <w:rFonts w:ascii="黑体" w:hAnsi="黑体" w:eastAsia="黑体"/>
          <w:sz w:val="44"/>
          <w:szCs w:val="32"/>
        </w:rPr>
      </w:pPr>
      <w:r>
        <w:rPr>
          <w:rFonts w:hint="eastAsia" w:ascii="黑体" w:hAnsi="黑体" w:eastAsia="黑体"/>
          <w:sz w:val="44"/>
          <w:szCs w:val="32"/>
        </w:rPr>
        <w:t>第一部分</w:t>
      </w:r>
    </w:p>
    <w:p>
      <w:pPr>
        <w:adjustRightInd w:val="0"/>
        <w:snapToGrid w:val="0"/>
        <w:spacing w:line="360" w:lineRule="auto"/>
        <w:jc w:val="center"/>
        <w:rPr>
          <w:rFonts w:ascii="黑体" w:hAnsi="黑体" w:eastAsia="黑体"/>
          <w:b/>
          <w:sz w:val="40"/>
          <w:szCs w:val="32"/>
        </w:rPr>
      </w:pPr>
      <w:r>
        <w:rPr>
          <w:rFonts w:hint="eastAsia" w:ascii="黑体" w:hAnsi="黑体" w:eastAsia="黑体"/>
          <w:b/>
          <w:bCs/>
          <w:sz w:val="40"/>
          <w:szCs w:val="32"/>
        </w:rPr>
        <w:t>部门概</w:t>
      </w:r>
      <w:r>
        <w:rPr>
          <w:rFonts w:hint="eastAsia" w:ascii="黑体" w:hAnsi="黑体" w:eastAsia="黑体"/>
          <w:b/>
          <w:sz w:val="40"/>
          <w:szCs w:val="32"/>
        </w:rPr>
        <w:t>况</w:t>
      </w:r>
    </w:p>
    <w:p>
      <w:pPr>
        <w:adjustRightInd w:val="0"/>
        <w:snapToGrid w:val="0"/>
        <w:spacing w:line="360" w:lineRule="auto"/>
        <w:ind w:firstLine="640" w:firstLineChars="200"/>
        <w:jc w:val="center"/>
        <w:rPr>
          <w:rFonts w:ascii="黑体" w:hAnsi="黑体" w:eastAsia="黑体"/>
          <w:sz w:val="32"/>
          <w:szCs w:val="32"/>
        </w:rPr>
      </w:pPr>
    </w:p>
    <w:p>
      <w:pPr>
        <w:numPr>
          <w:ilvl w:val="0"/>
          <w:numId w:val="1"/>
        </w:numPr>
        <w:adjustRightInd w:val="0"/>
        <w:snapToGrid w:val="0"/>
        <w:spacing w:line="360" w:lineRule="auto"/>
        <w:rPr>
          <w:rFonts w:ascii="宋体" w:hAnsi="宋体"/>
          <w:b/>
          <w:bCs/>
          <w:sz w:val="32"/>
          <w:szCs w:val="32"/>
        </w:rPr>
      </w:pPr>
      <w:r>
        <w:rPr>
          <w:rFonts w:hint="eastAsia" w:ascii="宋体" w:hAnsi="宋体"/>
          <w:b/>
          <w:bCs/>
          <w:sz w:val="32"/>
          <w:szCs w:val="32"/>
        </w:rPr>
        <w:t>部门主要职责</w:t>
      </w:r>
    </w:p>
    <w:p>
      <w:pPr>
        <w:spacing w:line="600" w:lineRule="auto"/>
        <w:ind w:firstLine="640"/>
        <w:rPr>
          <w:rFonts w:ascii="仿宋" w:hAnsi="仿宋" w:eastAsia="仿宋" w:cs="仿宋"/>
          <w:color w:val="000000"/>
          <w:sz w:val="32"/>
        </w:rPr>
      </w:pPr>
      <w:r>
        <w:rPr>
          <w:rFonts w:ascii="仿宋" w:hAnsi="仿宋" w:eastAsia="仿宋" w:cs="仿宋"/>
          <w:sz w:val="32"/>
        </w:rPr>
        <w:t>（一）</w:t>
      </w:r>
      <w:r>
        <w:rPr>
          <w:rFonts w:ascii="仿宋" w:hAnsi="仿宋" w:eastAsia="仿宋" w:cs="仿宋"/>
          <w:color w:val="000000"/>
          <w:sz w:val="32"/>
        </w:rPr>
        <w:t>贯彻实施国家、省、市有关城市管理和综合执法工作的方针、政策、法律、法规和规章，研究制定全区城市管理行政执法工作的发展战略、中长期规划和年度计划，并组织实施。</w:t>
      </w:r>
    </w:p>
    <w:p>
      <w:pPr>
        <w:spacing w:line="600" w:lineRule="auto"/>
        <w:ind w:firstLine="640"/>
        <w:rPr>
          <w:rFonts w:ascii="仿宋" w:hAnsi="仿宋" w:eastAsia="仿宋" w:cs="仿宋"/>
          <w:color w:val="000000"/>
          <w:sz w:val="32"/>
        </w:rPr>
      </w:pPr>
      <w:r>
        <w:rPr>
          <w:rFonts w:ascii="仿宋" w:hAnsi="仿宋" w:eastAsia="仿宋" w:cs="仿宋"/>
          <w:color w:val="000000"/>
          <w:sz w:val="32"/>
        </w:rPr>
        <w:t>（二）负责</w:t>
      </w:r>
      <w:r>
        <w:rPr>
          <w:rFonts w:ascii="仿宋" w:hAnsi="仿宋" w:eastAsia="仿宋" w:cs="仿宋"/>
          <w:sz w:val="32"/>
        </w:rPr>
        <w:t>辖区</w:t>
      </w:r>
      <w:r>
        <w:rPr>
          <w:rFonts w:ascii="仿宋" w:hAnsi="仿宋" w:eastAsia="仿宋" w:cs="仿宋"/>
          <w:color w:val="000000"/>
          <w:sz w:val="32"/>
        </w:rPr>
        <w:t>城市管理和综合执法工作的指导、组织协调、监督、考评、考核;指导各乡（镇）、街道城市管理工作。</w:t>
      </w:r>
    </w:p>
    <w:p>
      <w:pPr>
        <w:spacing w:line="600" w:lineRule="auto"/>
        <w:ind w:firstLine="640"/>
        <w:rPr>
          <w:rFonts w:ascii="仿宋" w:hAnsi="仿宋" w:eastAsia="仿宋" w:cs="仿宋"/>
          <w:color w:val="000000"/>
          <w:sz w:val="32"/>
        </w:rPr>
      </w:pPr>
      <w:r>
        <w:rPr>
          <w:rFonts w:ascii="仿宋" w:hAnsi="仿宋" w:eastAsia="仿宋" w:cs="仿宋"/>
          <w:color w:val="000000"/>
          <w:sz w:val="32"/>
        </w:rPr>
        <w:t>（三）负责各乡（镇）、街道结合部和全区重点区域的指定管辖。</w:t>
      </w:r>
    </w:p>
    <w:p>
      <w:pPr>
        <w:spacing w:line="600" w:lineRule="auto"/>
        <w:ind w:firstLine="640"/>
        <w:rPr>
          <w:rFonts w:ascii="仿宋" w:hAnsi="仿宋" w:eastAsia="仿宋" w:cs="仿宋"/>
          <w:color w:val="000000"/>
          <w:sz w:val="32"/>
        </w:rPr>
      </w:pPr>
      <w:r>
        <w:rPr>
          <w:rFonts w:ascii="仿宋" w:hAnsi="仿宋" w:eastAsia="仿宋" w:cs="仿宋"/>
          <w:color w:val="000000"/>
          <w:sz w:val="32"/>
        </w:rPr>
        <w:t>（四）负责辖区城市管理工作的指导、监督、考核。</w:t>
      </w:r>
    </w:p>
    <w:p>
      <w:pPr>
        <w:spacing w:line="600" w:lineRule="auto"/>
        <w:ind w:firstLine="640"/>
        <w:rPr>
          <w:rFonts w:ascii="仿宋" w:hAnsi="仿宋" w:eastAsia="仿宋" w:cs="仿宋"/>
          <w:color w:val="000000"/>
          <w:sz w:val="32"/>
        </w:rPr>
      </w:pPr>
      <w:r>
        <w:rPr>
          <w:rFonts w:ascii="仿宋" w:hAnsi="仿宋" w:eastAsia="仿宋" w:cs="仿宋"/>
          <w:color w:val="000000"/>
          <w:sz w:val="32"/>
        </w:rPr>
        <w:t>（五）负责全区市容环境卫生管理工作的指导、监督、检查和考评工作。</w:t>
      </w:r>
    </w:p>
    <w:p>
      <w:pPr>
        <w:spacing w:line="600" w:lineRule="auto"/>
        <w:ind w:firstLine="640"/>
        <w:rPr>
          <w:rFonts w:ascii="仿宋" w:hAnsi="仿宋" w:eastAsia="仿宋" w:cs="仿宋"/>
          <w:color w:val="000000"/>
          <w:sz w:val="32"/>
        </w:rPr>
      </w:pPr>
      <w:r>
        <w:rPr>
          <w:rFonts w:ascii="仿宋" w:hAnsi="仿宋" w:eastAsia="仿宋" w:cs="仿宋"/>
          <w:sz w:val="32"/>
        </w:rPr>
        <w:t>（六）</w:t>
      </w:r>
      <w:r>
        <w:rPr>
          <w:rFonts w:ascii="仿宋" w:hAnsi="仿宋" w:eastAsia="仿宋" w:cs="仿宋"/>
          <w:color w:val="000000"/>
          <w:sz w:val="32"/>
        </w:rPr>
        <w:t>负责全区园林绿化管理工作的指导、监督、检查和考评工作。</w:t>
      </w:r>
    </w:p>
    <w:p>
      <w:pPr>
        <w:spacing w:line="600" w:lineRule="auto"/>
        <w:ind w:firstLine="640"/>
        <w:rPr>
          <w:rFonts w:ascii="仿宋" w:hAnsi="仿宋" w:eastAsia="仿宋" w:cs="仿宋"/>
          <w:color w:val="000000"/>
          <w:sz w:val="32"/>
        </w:rPr>
      </w:pPr>
      <w:r>
        <w:rPr>
          <w:rFonts w:ascii="仿宋" w:hAnsi="仿宋" w:eastAsia="仿宋" w:cs="仿宋"/>
          <w:sz w:val="32"/>
        </w:rPr>
        <w:t>（七）</w:t>
      </w:r>
      <w:r>
        <w:rPr>
          <w:rFonts w:ascii="仿宋" w:hAnsi="仿宋" w:eastAsia="仿宋" w:cs="仿宋"/>
          <w:color w:val="000000"/>
          <w:sz w:val="32"/>
        </w:rPr>
        <w:t>负责辖区亮化照明设施运行管理工作的指导、监督、检查和考评工作。</w:t>
      </w:r>
    </w:p>
    <w:p>
      <w:pPr>
        <w:spacing w:line="600" w:lineRule="auto"/>
        <w:ind w:firstLine="640"/>
        <w:rPr>
          <w:rFonts w:ascii="仿宋" w:hAnsi="仿宋" w:eastAsia="仿宋" w:cs="仿宋"/>
          <w:sz w:val="32"/>
        </w:rPr>
      </w:pPr>
      <w:r>
        <w:rPr>
          <w:rFonts w:ascii="仿宋" w:hAnsi="仿宋" w:eastAsia="仿宋" w:cs="仿宋"/>
          <w:sz w:val="32"/>
        </w:rPr>
        <w:t>（八）负责辖区违法建设的监管及治理工作。</w:t>
      </w:r>
    </w:p>
    <w:p>
      <w:pPr>
        <w:spacing w:line="600" w:lineRule="auto"/>
        <w:ind w:firstLine="640"/>
        <w:rPr>
          <w:rFonts w:ascii="仿宋" w:hAnsi="仿宋" w:eastAsia="仿宋" w:cs="仿宋"/>
          <w:sz w:val="32"/>
        </w:rPr>
      </w:pPr>
      <w:r>
        <w:rPr>
          <w:rFonts w:ascii="仿宋" w:hAnsi="仿宋" w:eastAsia="仿宋" w:cs="仿宋"/>
          <w:sz w:val="32"/>
        </w:rPr>
        <w:t>（九）负责辖区公共空间秩序管理方面门店牌匾设置管理工作;负责辖区与城市管理密切相关、需纳入统一管理的环境保护方面的部分工作。</w:t>
      </w:r>
    </w:p>
    <w:p>
      <w:pPr>
        <w:spacing w:line="600" w:lineRule="auto"/>
        <w:ind w:firstLine="640"/>
        <w:rPr>
          <w:rFonts w:ascii="仿宋" w:hAnsi="仿宋" w:eastAsia="仿宋" w:cs="仿宋"/>
          <w:sz w:val="32"/>
        </w:rPr>
      </w:pPr>
      <w:r>
        <w:rPr>
          <w:rFonts w:ascii="仿宋" w:hAnsi="仿宋" w:eastAsia="仿宋" w:cs="仿宋"/>
          <w:color w:val="000000"/>
          <w:sz w:val="32"/>
        </w:rPr>
        <w:t>（十）</w:t>
      </w:r>
      <w:r>
        <w:rPr>
          <w:rFonts w:ascii="仿宋" w:hAnsi="仿宋" w:eastAsia="仿宋" w:cs="仿宋"/>
          <w:sz w:val="32"/>
        </w:rPr>
        <w:t>负责辖区交通秩序管理方面非机动车停放秩序管理工作;负责辖区交通管理方面公共停车场管理</w:t>
      </w:r>
      <w:r>
        <w:rPr>
          <w:rFonts w:ascii="仿宋" w:hAnsi="仿宋" w:eastAsia="仿宋" w:cs="仿宋"/>
          <w:color w:val="000000"/>
          <w:sz w:val="32"/>
        </w:rPr>
        <w:t>和机动车在城市道路的停车管理职能</w:t>
      </w:r>
      <w:r>
        <w:rPr>
          <w:rFonts w:ascii="仿宋" w:hAnsi="仿宋" w:eastAsia="仿宋" w:cs="仿宋"/>
          <w:sz w:val="32"/>
        </w:rPr>
        <w:t>；负责辖区除市级管理职能以外的其他城市管理工作。</w:t>
      </w:r>
    </w:p>
    <w:p>
      <w:pPr>
        <w:spacing w:line="600" w:lineRule="auto"/>
        <w:ind w:firstLine="640"/>
        <w:rPr>
          <w:rFonts w:ascii="仿宋" w:hAnsi="仿宋" w:eastAsia="仿宋" w:cs="仿宋"/>
          <w:sz w:val="32"/>
        </w:rPr>
      </w:pPr>
      <w:r>
        <w:rPr>
          <w:rFonts w:ascii="仿宋" w:hAnsi="仿宋" w:eastAsia="仿宋" w:cs="仿宋"/>
          <w:sz w:val="32"/>
        </w:rPr>
        <w:t>（十一）</w:t>
      </w:r>
      <w:r>
        <w:rPr>
          <w:rFonts w:ascii="仿宋" w:hAnsi="仿宋" w:eastAsia="仿宋" w:cs="仿宋"/>
          <w:color w:val="000000"/>
          <w:sz w:val="32"/>
        </w:rPr>
        <w:t>负责城市管理方面的城市应急管理工作。建立完善城市管理领域安全监管责任制，建立分级、分类、动态管理制度。</w:t>
      </w:r>
    </w:p>
    <w:p>
      <w:pPr>
        <w:spacing w:line="620" w:lineRule="auto"/>
        <w:ind w:firstLine="640"/>
        <w:rPr>
          <w:rFonts w:ascii="仿宋" w:hAnsi="仿宋" w:eastAsia="仿宋" w:cs="仿宋"/>
          <w:color w:val="000000"/>
          <w:sz w:val="32"/>
        </w:rPr>
      </w:pPr>
      <w:r>
        <w:rPr>
          <w:rFonts w:ascii="仿宋" w:hAnsi="仿宋" w:eastAsia="仿宋" w:cs="仿宋"/>
          <w:sz w:val="32"/>
        </w:rPr>
        <w:t>（十二）</w:t>
      </w:r>
      <w:r>
        <w:rPr>
          <w:rFonts w:ascii="仿宋" w:hAnsi="仿宋" w:eastAsia="仿宋" w:cs="仿宋"/>
          <w:color w:val="000000"/>
          <w:sz w:val="32"/>
        </w:rPr>
        <w:t>负责辖区内除市级管理的主干道以外的道路、街坊支路、楼院以及城中村等无主建筑垃圾的监管和清理工作。</w:t>
      </w:r>
    </w:p>
    <w:p>
      <w:pPr>
        <w:spacing w:line="600" w:lineRule="auto"/>
        <w:ind w:firstLine="640"/>
        <w:rPr>
          <w:rFonts w:ascii="仿宋" w:hAnsi="仿宋" w:eastAsia="仿宋" w:cs="仿宋"/>
          <w:color w:val="000000"/>
          <w:sz w:val="32"/>
        </w:rPr>
      </w:pPr>
      <w:r>
        <w:rPr>
          <w:rFonts w:ascii="仿宋" w:hAnsi="仿宋" w:eastAsia="仿宋" w:cs="仿宋"/>
          <w:color w:val="000000"/>
          <w:sz w:val="32"/>
        </w:rPr>
        <w:t>（十三）负责区数字化城市管理监督指挥工作，并监督其数据结果的落实情况。</w:t>
      </w:r>
    </w:p>
    <w:p>
      <w:pPr>
        <w:spacing w:line="600" w:lineRule="auto"/>
        <w:ind w:firstLine="640"/>
        <w:rPr>
          <w:rFonts w:ascii="仿宋" w:hAnsi="仿宋" w:eastAsia="仿宋" w:cs="仿宋"/>
          <w:color w:val="000000"/>
          <w:sz w:val="32"/>
        </w:rPr>
      </w:pPr>
      <w:r>
        <w:rPr>
          <w:rFonts w:ascii="仿宋" w:hAnsi="仿宋" w:eastAsia="仿宋" w:cs="仿宋"/>
          <w:color w:val="000000"/>
          <w:sz w:val="32"/>
        </w:rPr>
        <w:t>（十四）负责市公安局行政执法处派驻的警察大队的日常管理工作，协调警察大队维护城市管理及综合执法活动的治安秩序，依法制止，打击妨碍城市管理工作和暴力抗法行为，对涉嫌犯罪的，依照法定程序及时处理。</w:t>
      </w:r>
    </w:p>
    <w:p>
      <w:pPr>
        <w:spacing w:line="600" w:lineRule="auto"/>
        <w:ind w:firstLine="640"/>
        <w:rPr>
          <w:rFonts w:ascii="仿宋" w:hAnsi="仿宋" w:eastAsia="仿宋" w:cs="仿宋"/>
          <w:color w:val="000000"/>
          <w:sz w:val="32"/>
        </w:rPr>
      </w:pPr>
      <w:r>
        <w:rPr>
          <w:rFonts w:ascii="仿宋" w:hAnsi="仿宋" w:eastAsia="仿宋" w:cs="仿宋"/>
          <w:color w:val="000000"/>
          <w:sz w:val="32"/>
        </w:rPr>
        <w:t>（十五）负责公用事业管理方面法律、法规、规章规定的违反瓶装燃气管理的行政处罚权及相应行政强制措施。</w:t>
      </w:r>
    </w:p>
    <w:p>
      <w:pPr>
        <w:spacing w:line="600" w:lineRule="auto"/>
        <w:ind w:firstLine="640"/>
        <w:rPr>
          <w:rFonts w:ascii="仿宋" w:hAnsi="仿宋" w:eastAsia="仿宋" w:cs="仿宋"/>
          <w:color w:val="000000"/>
          <w:sz w:val="32"/>
        </w:rPr>
      </w:pPr>
      <w:r>
        <w:rPr>
          <w:rFonts w:ascii="仿宋" w:hAnsi="仿宋" w:eastAsia="仿宋" w:cs="仿宋"/>
          <w:color w:val="000000"/>
          <w:sz w:val="32"/>
        </w:rPr>
        <w:t>（十六）负责市容和环境卫生管理方面法律、法规、规章规定的行政处罚权及相应行政强制措施。</w:t>
      </w:r>
    </w:p>
    <w:p>
      <w:pPr>
        <w:spacing w:line="620" w:lineRule="auto"/>
        <w:ind w:firstLine="640"/>
        <w:rPr>
          <w:rFonts w:ascii="仿宋" w:hAnsi="仿宋" w:eastAsia="仿宋" w:cs="仿宋"/>
          <w:color w:val="000000"/>
          <w:sz w:val="32"/>
        </w:rPr>
      </w:pPr>
      <w:r>
        <w:rPr>
          <w:rFonts w:ascii="仿宋" w:hAnsi="仿宋" w:eastAsia="仿宋" w:cs="仿宋"/>
          <w:color w:val="000000"/>
          <w:sz w:val="32"/>
        </w:rPr>
        <w:t>（十七）负责区建园林绿地管理工作。负责园林绿化管理方面法律、法规、规章规定的除市管绿地以外的行政处罚权及相应行政强制措施。</w:t>
      </w:r>
    </w:p>
    <w:p>
      <w:pPr>
        <w:spacing w:line="600" w:lineRule="auto"/>
        <w:ind w:firstLine="640"/>
        <w:rPr>
          <w:rFonts w:ascii="仿宋" w:hAnsi="仿宋" w:eastAsia="仿宋" w:cs="仿宋"/>
          <w:sz w:val="32"/>
        </w:rPr>
      </w:pPr>
      <w:r>
        <w:rPr>
          <w:rFonts w:ascii="仿宋" w:hAnsi="仿宋" w:eastAsia="仿宋" w:cs="仿宋"/>
          <w:color w:val="000000"/>
          <w:sz w:val="32"/>
        </w:rPr>
        <w:t>（十八）</w:t>
      </w:r>
      <w:r>
        <w:rPr>
          <w:rFonts w:ascii="仿宋" w:hAnsi="仿宋" w:eastAsia="仿宋" w:cs="仿宋"/>
          <w:sz w:val="32"/>
        </w:rPr>
        <w:t>负责交通管理方面法律、法规、规章规定的侵占城市道路、违法停放车辆等行政处罚</w:t>
      </w:r>
      <w:r>
        <w:rPr>
          <w:rFonts w:ascii="仿宋" w:hAnsi="仿宋" w:eastAsia="仿宋" w:cs="仿宋"/>
          <w:color w:val="000000"/>
          <w:sz w:val="32"/>
        </w:rPr>
        <w:t>权及相应行政强制措施。</w:t>
      </w:r>
    </w:p>
    <w:p>
      <w:pPr>
        <w:spacing w:line="600" w:lineRule="auto"/>
        <w:ind w:firstLine="640"/>
        <w:rPr>
          <w:rFonts w:ascii="仿宋" w:hAnsi="仿宋" w:eastAsia="仿宋" w:cs="仿宋"/>
          <w:color w:val="000000"/>
          <w:sz w:val="32"/>
        </w:rPr>
      </w:pPr>
      <w:r>
        <w:rPr>
          <w:rFonts w:ascii="仿宋" w:hAnsi="仿宋" w:eastAsia="仿宋" w:cs="仿宋"/>
          <w:color w:val="000000"/>
          <w:sz w:val="32"/>
        </w:rPr>
        <w:t>（十九）负责市场监督管理方面法律、法规、规章规定的户外公共场所无照经营、除市管道路以外的违规设置户外广告(报刊亭、商亭)的行政处罚权及相应行政强制措施。</w:t>
      </w:r>
    </w:p>
    <w:p>
      <w:pPr>
        <w:spacing w:line="600" w:lineRule="auto"/>
        <w:ind w:firstLine="640"/>
        <w:rPr>
          <w:rFonts w:ascii="仿宋" w:hAnsi="仿宋" w:eastAsia="仿宋" w:cs="仿宋"/>
          <w:color w:val="000000"/>
          <w:sz w:val="32"/>
        </w:rPr>
      </w:pPr>
      <w:r>
        <w:rPr>
          <w:rFonts w:ascii="仿宋" w:hAnsi="仿宋" w:eastAsia="仿宋" w:cs="仿宋"/>
          <w:color w:val="000000"/>
          <w:sz w:val="32"/>
        </w:rPr>
        <w:t>（二十）负责水务管理方面法律、法规、规章规定的向城市河道倾倒废弃物和垃圾、违规取土、占压城市河道违法建筑物拆除等行政处罚权及相应行政强制措施。</w:t>
      </w:r>
    </w:p>
    <w:p>
      <w:pPr>
        <w:spacing w:line="600" w:lineRule="auto"/>
        <w:ind w:firstLine="640"/>
        <w:rPr>
          <w:rFonts w:ascii="仿宋" w:hAnsi="仿宋" w:eastAsia="仿宋" w:cs="仿宋"/>
          <w:color w:val="000000"/>
          <w:sz w:val="32"/>
        </w:rPr>
      </w:pPr>
      <w:r>
        <w:rPr>
          <w:rFonts w:ascii="仿宋" w:hAnsi="仿宋" w:eastAsia="仿宋" w:cs="仿宋"/>
          <w:color w:val="000000"/>
          <w:sz w:val="32"/>
        </w:rPr>
        <w:t>（二十一）负责市政工程管理方面法律、法规、规章规定的违反非市管城市道路、桥梁及其附属设施管理的行政处罚权及相应行政强制措施。</w:t>
      </w:r>
    </w:p>
    <w:p>
      <w:pPr>
        <w:spacing w:line="600" w:lineRule="auto"/>
        <w:ind w:firstLine="640"/>
        <w:rPr>
          <w:rFonts w:ascii="仿宋" w:hAnsi="仿宋" w:eastAsia="仿宋" w:cs="仿宋"/>
          <w:color w:val="000000"/>
          <w:sz w:val="32"/>
        </w:rPr>
      </w:pPr>
      <w:r>
        <w:rPr>
          <w:rFonts w:ascii="仿宋" w:hAnsi="仿宋" w:eastAsia="仿宋" w:cs="仿宋"/>
          <w:color w:val="000000"/>
          <w:sz w:val="32"/>
        </w:rPr>
        <w:t>（二十二）负责住房和城乡建设领域法律、法规、规章规定的全部行政处罚;负责城乡规划管理方面法律、法规、规章规定的除市级管辖以外的行政处罚;负责城乡建设管理方面法律、法规、规章规定的除市级管辖以外的行政处罚;负责房地产管理方面法律、法规、规章规定的除违反国有土地上房地产开发经营管理以外的行政处罚权及相应行政强制措施。</w:t>
      </w:r>
    </w:p>
    <w:p>
      <w:pPr>
        <w:spacing w:line="600" w:lineRule="auto"/>
        <w:ind w:firstLine="640"/>
        <w:rPr>
          <w:rFonts w:ascii="仿宋" w:hAnsi="仿宋" w:eastAsia="仿宋" w:cs="仿宋"/>
          <w:color w:val="000000"/>
          <w:sz w:val="32"/>
        </w:rPr>
      </w:pPr>
      <w:r>
        <w:rPr>
          <w:rFonts w:ascii="仿宋" w:hAnsi="仿宋" w:eastAsia="仿宋" w:cs="仿宋"/>
          <w:color w:val="000000"/>
          <w:sz w:val="32"/>
        </w:rPr>
        <w:t>（二十三）负责环境保护管理方面法律、法规、规章规定的社会生活噪声污染、建筑施工噪声污染、建筑施工扬尘污染、餐饮服务业油烟污染、露天烧烤污染、城市焚烧沥青塑料垃圾等烟尘和恶臭污染、露天焚烧落叶等烟尘污染、燃放烟花爆竹污染等行政处罚权及相应行政强制措施。</w:t>
      </w:r>
    </w:p>
    <w:p>
      <w:pPr>
        <w:spacing w:line="600" w:lineRule="auto"/>
        <w:ind w:firstLine="640"/>
        <w:rPr>
          <w:rFonts w:ascii="仿宋" w:hAnsi="仿宋" w:eastAsia="仿宋" w:cs="仿宋"/>
          <w:sz w:val="32"/>
        </w:rPr>
      </w:pPr>
      <w:r>
        <w:rPr>
          <w:rFonts w:ascii="仿宋" w:hAnsi="仿宋" w:eastAsia="仿宋" w:cs="仿宋"/>
          <w:color w:val="000000"/>
          <w:sz w:val="32"/>
        </w:rPr>
        <w:t>（二十四）</w:t>
      </w:r>
      <w:r>
        <w:rPr>
          <w:rFonts w:ascii="仿宋" w:hAnsi="仿宋" w:eastAsia="仿宋" w:cs="仿宋"/>
          <w:sz w:val="32"/>
        </w:rPr>
        <w:t>负责区管市政公用设施运行管理、市容和环境卫生管理、区管园林绿地管理工作;拆除环境卫生设施的批准;关闭、闲置或者拆除生活垃圾处置设施、场所的核准;从事城市生活垃圾经营性清扫、收集、运输、处理服务审批;在城市建筑物、设施上张挂、张贴宣传品的批准</w:t>
      </w:r>
      <w:r>
        <w:rPr>
          <w:rFonts w:ascii="仿宋" w:hAnsi="仿宋" w:eastAsia="仿宋" w:cs="仿宋"/>
          <w:color w:val="000000"/>
          <w:sz w:val="32"/>
        </w:rPr>
        <w:t>权及相应行政强制措施</w:t>
      </w:r>
      <w:r>
        <w:rPr>
          <w:rFonts w:ascii="仿宋" w:hAnsi="仿宋" w:eastAsia="仿宋" w:cs="仿宋"/>
          <w:sz w:val="32"/>
        </w:rPr>
        <w:t>。</w:t>
      </w:r>
    </w:p>
    <w:p>
      <w:pPr>
        <w:spacing w:line="600" w:lineRule="auto"/>
        <w:ind w:firstLine="640"/>
        <w:rPr>
          <w:rFonts w:ascii="仿宋" w:hAnsi="仿宋" w:eastAsia="仿宋" w:cs="仿宋"/>
          <w:color w:val="000000"/>
          <w:sz w:val="32"/>
        </w:rPr>
      </w:pPr>
      <w:r>
        <w:rPr>
          <w:rFonts w:ascii="仿宋" w:hAnsi="仿宋" w:eastAsia="仿宋" w:cs="仿宋"/>
          <w:color w:val="000000"/>
          <w:sz w:val="32"/>
        </w:rPr>
        <w:t>（二十五）承担区城市管理委员会办公室的日常工作。</w:t>
      </w:r>
    </w:p>
    <w:p>
      <w:pPr>
        <w:spacing w:line="600" w:lineRule="auto"/>
        <w:ind w:firstLine="640"/>
        <w:rPr>
          <w:rFonts w:ascii="仿宋" w:hAnsi="仿宋" w:eastAsia="仿宋" w:cs="仿宋"/>
          <w:color w:val="000000"/>
          <w:sz w:val="32"/>
        </w:rPr>
      </w:pPr>
      <w:r>
        <w:rPr>
          <w:rFonts w:ascii="仿宋" w:hAnsi="仿宋" w:eastAsia="仿宋" w:cs="仿宋"/>
          <w:color w:val="000000"/>
          <w:sz w:val="32"/>
        </w:rPr>
        <w:t>（二十六）完成区委、区政府交办的其他任务。</w:t>
      </w:r>
    </w:p>
    <w:p>
      <w:pPr>
        <w:spacing w:line="600" w:lineRule="auto"/>
        <w:ind w:firstLine="640"/>
        <w:rPr>
          <w:rFonts w:ascii="仿宋" w:hAnsi="仿宋" w:eastAsia="仿宋" w:cs="仿宋"/>
          <w:color w:val="000000"/>
          <w:sz w:val="32"/>
        </w:rPr>
      </w:pPr>
      <w:r>
        <w:rPr>
          <w:rFonts w:ascii="仿宋" w:hAnsi="仿宋" w:eastAsia="仿宋" w:cs="仿宋"/>
          <w:color w:val="000000"/>
          <w:sz w:val="32"/>
        </w:rPr>
        <w:t>（二十七）有关职责分工</w:t>
      </w:r>
    </w:p>
    <w:p>
      <w:pPr>
        <w:spacing w:line="600" w:lineRule="auto"/>
        <w:ind w:firstLine="640"/>
        <w:rPr>
          <w:rFonts w:ascii="仿宋" w:hAnsi="仿宋" w:eastAsia="仿宋" w:cs="仿宋"/>
          <w:color w:val="000000"/>
          <w:sz w:val="32"/>
        </w:rPr>
      </w:pPr>
      <w:r>
        <w:rPr>
          <w:rFonts w:ascii="仿宋" w:hAnsi="仿宋" w:eastAsia="仿宋" w:cs="仿宋"/>
          <w:color w:val="000000"/>
          <w:sz w:val="32"/>
        </w:rPr>
        <w:t>1、安阳市龙安区城市管理行政执法局负责食品药品监管方面法律、法规、规章规定的户外公共场所食品销售和餐饮摊点无证经营等行政处罚；安阳市龙安区市场监督管理局负责户外公共场所食品销售和餐饮摊点的食品安全监管工作。</w:t>
      </w:r>
    </w:p>
    <w:p>
      <w:pPr>
        <w:spacing w:line="620" w:lineRule="auto"/>
        <w:ind w:firstLine="640"/>
        <w:rPr>
          <w:rFonts w:ascii="仿宋_GB2312" w:hAnsi="仿宋_GB2312" w:eastAsia="仿宋_GB2312" w:cs="仿宋_GB2312"/>
          <w:sz w:val="32"/>
        </w:rPr>
      </w:pPr>
      <w:r>
        <w:rPr>
          <w:rFonts w:ascii="仿宋" w:hAnsi="仿宋" w:eastAsia="仿宋" w:cs="仿宋"/>
          <w:color w:val="000000"/>
          <w:sz w:val="32"/>
        </w:rPr>
        <w:t>2、</w:t>
      </w:r>
      <w:r>
        <w:rPr>
          <w:rFonts w:ascii="仿宋" w:hAnsi="仿宋" w:eastAsia="仿宋" w:cs="仿宋"/>
          <w:sz w:val="32"/>
        </w:rPr>
        <w:t>违反城乡规划建设行为查处职责分工。</w:t>
      </w:r>
      <w:r>
        <w:rPr>
          <w:rFonts w:ascii="仿宋" w:hAnsi="仿宋" w:eastAsia="仿宋" w:cs="仿宋"/>
          <w:color w:val="000000"/>
          <w:sz w:val="32"/>
        </w:rPr>
        <w:t>安阳市</w:t>
      </w:r>
      <w:r>
        <w:rPr>
          <w:rFonts w:ascii="仿宋" w:hAnsi="仿宋" w:eastAsia="仿宋" w:cs="仿宋"/>
          <w:sz w:val="32"/>
        </w:rPr>
        <w:t>龙安区城市管理行政执法局负责违反城乡规划管理方面法律、法规、规章规定的建设行为的行政处罚工作；</w:t>
      </w:r>
      <w:r>
        <w:rPr>
          <w:rFonts w:ascii="仿宋" w:hAnsi="仿宋" w:eastAsia="仿宋" w:cs="仿宋"/>
          <w:color w:val="000000"/>
          <w:sz w:val="32"/>
        </w:rPr>
        <w:t>安阳市</w:t>
      </w:r>
      <w:r>
        <w:rPr>
          <w:rFonts w:ascii="仿宋" w:hAnsi="仿宋" w:eastAsia="仿宋" w:cs="仿宋"/>
          <w:sz w:val="32"/>
        </w:rPr>
        <w:t>龙安区城市管理部门负责违反城乡规划管理方面法律、法规、规章规定的除市级管辖以外的行政处罚工作。</w:t>
      </w:r>
    </w:p>
    <w:p>
      <w:pPr>
        <w:adjustRightInd w:val="0"/>
        <w:snapToGrid w:val="0"/>
        <w:spacing w:line="360" w:lineRule="auto"/>
        <w:ind w:firstLine="640" w:firstLineChars="200"/>
        <w:rPr>
          <w:rFonts w:ascii="黑体" w:hAnsi="黑体" w:eastAsia="黑体"/>
          <w:b/>
          <w:sz w:val="32"/>
          <w:szCs w:val="32"/>
        </w:rPr>
      </w:pPr>
      <w:r>
        <w:rPr>
          <w:rFonts w:hint="eastAsia" w:ascii="黑体" w:hAnsi="黑体" w:eastAsia="黑体"/>
          <w:sz w:val="32"/>
          <w:szCs w:val="32"/>
        </w:rPr>
        <w:t>二、</w:t>
      </w:r>
      <w:r>
        <w:rPr>
          <w:rFonts w:hint="eastAsia" w:ascii="宋体" w:hAnsi="宋体"/>
          <w:b/>
          <w:bCs/>
          <w:sz w:val="32"/>
          <w:szCs w:val="32"/>
        </w:rPr>
        <w:t>部门预</w:t>
      </w:r>
      <w:r>
        <w:rPr>
          <w:rFonts w:hint="eastAsia" w:ascii="宋体" w:hAnsi="宋体"/>
          <w:b/>
          <w:sz w:val="32"/>
          <w:szCs w:val="32"/>
        </w:rPr>
        <w:t>算单位构成</w:t>
      </w:r>
    </w:p>
    <w:p>
      <w:pPr>
        <w:spacing w:line="360" w:lineRule="auto"/>
        <w:ind w:firstLine="600"/>
        <w:rPr>
          <w:rFonts w:ascii="仿宋" w:hAnsi="仿宋" w:eastAsia="仿宋" w:cs="仿宋"/>
          <w:color w:val="000000"/>
          <w:sz w:val="32"/>
        </w:rPr>
      </w:pPr>
      <w:r>
        <w:rPr>
          <w:rFonts w:ascii="仿宋" w:hAnsi="仿宋" w:eastAsia="仿宋" w:cs="仿宋"/>
          <w:color w:val="000000"/>
          <w:sz w:val="32"/>
        </w:rPr>
        <w:t>部门预算有二级机构2个，三级预算单位0个。本预算为汇总预算。纳入本部门202</w:t>
      </w:r>
      <w:r>
        <w:rPr>
          <w:rFonts w:hint="eastAsia" w:ascii="仿宋" w:hAnsi="仿宋" w:eastAsia="仿宋" w:cs="仿宋"/>
          <w:color w:val="000000"/>
          <w:sz w:val="32"/>
        </w:rPr>
        <w:t>4</w:t>
      </w:r>
      <w:r>
        <w:rPr>
          <w:rFonts w:ascii="仿宋" w:hAnsi="仿宋" w:eastAsia="仿宋" w:cs="仿宋"/>
          <w:color w:val="000000"/>
          <w:sz w:val="32"/>
        </w:rPr>
        <w:t xml:space="preserve">年度部门预算编报范围的二级预算单位如下： </w:t>
      </w:r>
    </w:p>
    <w:p>
      <w:pPr>
        <w:spacing w:line="360" w:lineRule="auto"/>
        <w:ind w:firstLine="640"/>
        <w:rPr>
          <w:rFonts w:ascii="仿宋" w:hAnsi="仿宋" w:eastAsia="仿宋" w:cs="仿宋"/>
          <w:color w:val="000000"/>
          <w:sz w:val="32"/>
        </w:rPr>
      </w:pPr>
      <w:r>
        <w:rPr>
          <w:rFonts w:ascii="仿宋" w:hAnsi="仿宋" w:eastAsia="仿宋" w:cs="仿宋"/>
          <w:color w:val="000000"/>
          <w:sz w:val="32"/>
        </w:rPr>
        <w:t>1、安阳市龙安区城市管理行政执法局（本级）</w:t>
      </w:r>
    </w:p>
    <w:p>
      <w:pPr>
        <w:spacing w:line="360" w:lineRule="auto"/>
        <w:ind w:firstLine="640"/>
        <w:rPr>
          <w:rFonts w:ascii="仿宋" w:hAnsi="仿宋" w:eastAsia="仿宋" w:cs="仿宋"/>
          <w:color w:val="000000"/>
          <w:sz w:val="32"/>
        </w:rPr>
      </w:pPr>
      <w:r>
        <w:rPr>
          <w:rFonts w:ascii="仿宋" w:hAnsi="仿宋" w:eastAsia="仿宋" w:cs="仿宋"/>
          <w:color w:val="000000"/>
          <w:sz w:val="32"/>
        </w:rPr>
        <w:t>2、安阳市龙安区城管监察大队</w:t>
      </w:r>
    </w:p>
    <w:p>
      <w:pPr>
        <w:spacing w:line="360" w:lineRule="auto"/>
        <w:ind w:firstLine="640"/>
        <w:rPr>
          <w:rFonts w:ascii="仿宋" w:hAnsi="仿宋" w:eastAsia="仿宋" w:cs="仿宋_GB2312"/>
          <w:sz w:val="32"/>
        </w:rPr>
      </w:pPr>
      <w:r>
        <w:rPr>
          <w:rFonts w:ascii="仿宋" w:hAnsi="仿宋" w:eastAsia="仿宋" w:cs="仿宋_GB2312"/>
          <w:sz w:val="32"/>
        </w:rPr>
        <w:t>3</w:t>
      </w:r>
      <w:r>
        <w:rPr>
          <w:rFonts w:ascii="仿宋" w:hAnsi="仿宋" w:eastAsia="仿宋" w:cs="宋体"/>
          <w:sz w:val="32"/>
        </w:rPr>
        <w:t>、安阳市龙安区园林绿化中心</w:t>
      </w:r>
    </w:p>
    <w:p>
      <w:pPr>
        <w:adjustRightInd w:val="0"/>
        <w:snapToGrid w:val="0"/>
        <w:spacing w:line="360" w:lineRule="auto"/>
        <w:jc w:val="center"/>
        <w:rPr>
          <w:rFonts w:ascii="仿宋" w:hAnsi="仿宋" w:eastAsia="仿宋" w:cs="黑体"/>
          <w:sz w:val="32"/>
          <w:szCs w:val="32"/>
        </w:rPr>
      </w:pPr>
    </w:p>
    <w:p>
      <w:pPr>
        <w:adjustRightInd w:val="0"/>
        <w:snapToGrid w:val="0"/>
        <w:spacing w:line="360" w:lineRule="auto"/>
        <w:jc w:val="center"/>
        <w:rPr>
          <w:rFonts w:ascii="黑体" w:hAnsi="Times New Roman" w:eastAsia="黑体" w:cs="黑体"/>
          <w:sz w:val="32"/>
          <w:szCs w:val="32"/>
        </w:rPr>
      </w:pPr>
    </w:p>
    <w:p>
      <w:pPr>
        <w:adjustRightInd w:val="0"/>
        <w:snapToGrid w:val="0"/>
        <w:spacing w:line="360" w:lineRule="auto"/>
        <w:jc w:val="center"/>
        <w:rPr>
          <w:rFonts w:ascii="黑体" w:hAnsi="Times New Roman" w:eastAsia="黑体" w:cs="黑体"/>
          <w:sz w:val="32"/>
          <w:szCs w:val="32"/>
        </w:rPr>
      </w:pPr>
    </w:p>
    <w:p>
      <w:pPr>
        <w:adjustRightInd w:val="0"/>
        <w:snapToGrid w:val="0"/>
        <w:spacing w:line="360" w:lineRule="auto"/>
        <w:jc w:val="center"/>
        <w:rPr>
          <w:rFonts w:ascii="黑体" w:hAnsi="Times New Roman" w:eastAsia="黑体" w:cs="黑体"/>
          <w:sz w:val="32"/>
          <w:szCs w:val="32"/>
        </w:rPr>
      </w:pPr>
    </w:p>
    <w:p>
      <w:pPr>
        <w:adjustRightInd w:val="0"/>
        <w:snapToGrid w:val="0"/>
        <w:spacing w:line="360" w:lineRule="auto"/>
        <w:jc w:val="center"/>
        <w:rPr>
          <w:rFonts w:ascii="黑体" w:hAnsi="Times New Roman" w:eastAsia="黑体" w:cs="黑体"/>
          <w:sz w:val="32"/>
          <w:szCs w:val="32"/>
        </w:rPr>
      </w:pPr>
    </w:p>
    <w:p>
      <w:pPr>
        <w:adjustRightInd w:val="0"/>
        <w:snapToGrid w:val="0"/>
        <w:spacing w:line="360" w:lineRule="auto"/>
        <w:jc w:val="center"/>
        <w:rPr>
          <w:rFonts w:ascii="黑体" w:hAnsi="Times New Roman" w:eastAsia="黑体" w:cs="黑体"/>
          <w:sz w:val="32"/>
          <w:szCs w:val="32"/>
        </w:rPr>
      </w:pPr>
    </w:p>
    <w:p>
      <w:pPr>
        <w:adjustRightInd w:val="0"/>
        <w:snapToGrid w:val="0"/>
        <w:spacing w:line="360" w:lineRule="auto"/>
        <w:jc w:val="center"/>
        <w:rPr>
          <w:rFonts w:ascii="宋体" w:hAnsi="宋体" w:cs="黑体"/>
          <w:b/>
          <w:spacing w:val="-38"/>
          <w:sz w:val="40"/>
          <w:szCs w:val="32"/>
        </w:rPr>
      </w:pPr>
      <w:r>
        <w:rPr>
          <w:rFonts w:hint="eastAsia" w:ascii="宋体" w:hAnsi="宋体" w:cs="黑体"/>
          <w:b/>
          <w:sz w:val="40"/>
          <w:szCs w:val="32"/>
        </w:rPr>
        <w:t>第二部分</w:t>
      </w:r>
    </w:p>
    <w:p>
      <w:pPr>
        <w:adjustRightInd w:val="0"/>
        <w:snapToGrid w:val="0"/>
        <w:spacing w:line="360" w:lineRule="auto"/>
        <w:jc w:val="center"/>
        <w:rPr>
          <w:rFonts w:ascii="黑体" w:hAnsi="黑体" w:eastAsia="黑体"/>
          <w:b/>
          <w:bCs/>
          <w:sz w:val="40"/>
          <w:szCs w:val="32"/>
        </w:rPr>
      </w:pPr>
      <w:r>
        <w:rPr>
          <w:rFonts w:ascii="黑体" w:hAnsi="Times New Roman" w:eastAsia="黑体" w:cs="黑体"/>
          <w:b/>
          <w:bCs/>
          <w:sz w:val="40"/>
          <w:szCs w:val="32"/>
        </w:rPr>
        <w:t>20</w:t>
      </w:r>
      <w:r>
        <w:rPr>
          <w:rFonts w:hint="eastAsia" w:ascii="黑体" w:hAnsi="Times New Roman" w:eastAsia="黑体" w:cs="黑体"/>
          <w:b/>
          <w:bCs/>
          <w:sz w:val="40"/>
          <w:szCs w:val="32"/>
        </w:rPr>
        <w:t>24年度部门预算情况说明</w:t>
      </w: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一、部门收支总体情况说明</w:t>
      </w:r>
      <w:r>
        <w:rPr>
          <w:rFonts w:ascii="黑体" w:hAnsi="黑体" w:eastAsia="黑体"/>
          <w:color w:val="FF0000"/>
          <w:sz w:val="32"/>
          <w:szCs w:val="32"/>
        </w:rPr>
        <w:t xml:space="preserve">                    </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w:t>
      </w:r>
      <w:r>
        <w:rPr>
          <w:rFonts w:hint="eastAsia" w:ascii="仿宋_GB2312" w:hAnsi="宋体" w:eastAsia="仿宋_GB2312" w:cs="Courier New"/>
          <w:sz w:val="32"/>
          <w:szCs w:val="32"/>
        </w:rPr>
        <w:t>24年收入总计</w:t>
      </w:r>
      <w:r>
        <w:rPr>
          <w:rFonts w:hint="eastAsia" w:ascii="仿宋_GB2312" w:eastAsia="仿宋_GB2312"/>
          <w:sz w:val="32"/>
          <w:szCs w:val="32"/>
        </w:rPr>
        <w:t>11123.08</w:t>
      </w:r>
      <w:r>
        <w:rPr>
          <w:rFonts w:hint="eastAsia" w:ascii="仿宋_GB2312" w:hAnsi="宋体" w:eastAsia="仿宋_GB2312" w:cs="Courier New"/>
          <w:sz w:val="32"/>
          <w:szCs w:val="32"/>
        </w:rPr>
        <w:t>万元，支出总计</w:t>
      </w:r>
      <w:r>
        <w:rPr>
          <w:rFonts w:hint="eastAsia" w:ascii="仿宋_GB2312" w:eastAsia="仿宋_GB2312"/>
          <w:sz w:val="32"/>
          <w:szCs w:val="32"/>
        </w:rPr>
        <w:t>11123.08</w:t>
      </w:r>
      <w:r>
        <w:rPr>
          <w:rFonts w:hint="eastAsia" w:ascii="仿宋_GB2312" w:hAnsi="宋体" w:eastAsia="仿宋_GB2312" w:cs="Courier New"/>
          <w:sz w:val="32"/>
          <w:szCs w:val="32"/>
        </w:rPr>
        <w:t>万元，与</w:t>
      </w:r>
      <w:r>
        <w:rPr>
          <w:rFonts w:ascii="仿宋_GB2312" w:hAnsi="宋体" w:eastAsia="仿宋_GB2312" w:cs="Courier New"/>
          <w:sz w:val="32"/>
          <w:szCs w:val="32"/>
        </w:rPr>
        <w:t>20</w:t>
      </w:r>
      <w:r>
        <w:rPr>
          <w:rFonts w:hint="eastAsia" w:ascii="仿宋_GB2312" w:hAnsi="宋体" w:eastAsia="仿宋_GB2312" w:cs="Courier New"/>
          <w:sz w:val="32"/>
          <w:szCs w:val="32"/>
        </w:rPr>
        <w:t>23年相比，收支总计各增加</w:t>
      </w:r>
      <w:r>
        <w:rPr>
          <w:rFonts w:hint="eastAsia" w:ascii="仿宋_GB2312" w:eastAsia="仿宋_GB2312"/>
          <w:sz w:val="32"/>
          <w:szCs w:val="32"/>
        </w:rPr>
        <w:t>735.77</w:t>
      </w:r>
      <w:r>
        <w:rPr>
          <w:rFonts w:hint="eastAsia" w:ascii="仿宋_GB2312" w:hAnsi="宋体" w:eastAsia="仿宋_GB2312" w:cs="Courier New"/>
          <w:sz w:val="32"/>
          <w:szCs w:val="32"/>
        </w:rPr>
        <w:t>万元，增长7.1</w:t>
      </w:r>
      <w:r>
        <w:rPr>
          <w:rFonts w:ascii="仿宋_GB2312" w:hAnsi="宋体" w:eastAsia="仿宋_GB2312" w:cs="Courier New"/>
          <w:sz w:val="32"/>
          <w:szCs w:val="32"/>
        </w:rPr>
        <w:t>%</w:t>
      </w:r>
      <w:r>
        <w:rPr>
          <w:rFonts w:hint="eastAsia" w:ascii="仿宋_GB2312" w:hAnsi="宋体" w:eastAsia="仿宋_GB2312" w:cs="Courier New"/>
          <w:sz w:val="32"/>
          <w:szCs w:val="32"/>
        </w:rPr>
        <w:t>。主要原因：</w:t>
      </w:r>
      <w:r>
        <w:rPr>
          <w:rFonts w:hint="eastAsia" w:ascii="仿宋_GB2312" w:eastAsia="仿宋_GB2312"/>
          <w:sz w:val="32"/>
          <w:szCs w:val="32"/>
        </w:rPr>
        <w:t>增加龙安智慧停车场建设项目龙安体育中心、南林高速西出口道路安全改造项目政府性基金预算拨款收入</w:t>
      </w:r>
      <w:r>
        <w:rPr>
          <w:rFonts w:hint="eastAsia" w:ascii="仿宋_GB2312" w:hAnsi="宋体" w:eastAsia="仿宋_GB2312" w:cs="Courier New"/>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二、部门收入总体情况说明</w:t>
      </w:r>
      <w:r>
        <w:rPr>
          <w:rFonts w:ascii="黑体" w:hAnsi="黑体" w:eastAsia="黑体"/>
          <w:color w:val="FF0000"/>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2024</w:t>
      </w:r>
      <w:r>
        <w:rPr>
          <w:rFonts w:hint="eastAsia" w:ascii="仿宋_GB2312" w:hAnsi="Times New Roman" w:eastAsia="仿宋_GB2312"/>
          <w:sz w:val="32"/>
          <w:szCs w:val="32"/>
        </w:rPr>
        <w:t>年收入合计</w:t>
      </w:r>
      <w:r>
        <w:rPr>
          <w:rFonts w:hint="eastAsia" w:ascii="仿宋_GB2312" w:eastAsia="仿宋_GB2312"/>
          <w:sz w:val="32"/>
          <w:szCs w:val="32"/>
        </w:rPr>
        <w:t>11123.08</w:t>
      </w:r>
      <w:r>
        <w:rPr>
          <w:rFonts w:hint="eastAsia" w:ascii="仿宋_GB2312" w:hAnsi="Times New Roman" w:eastAsia="仿宋_GB2312"/>
          <w:sz w:val="32"/>
          <w:szCs w:val="32"/>
        </w:rPr>
        <w:t>万元，</w:t>
      </w:r>
      <w:r>
        <w:rPr>
          <w:rFonts w:hint="eastAsia" w:ascii="仿宋_GB2312" w:eastAsia="仿宋_GB2312"/>
          <w:sz w:val="32"/>
          <w:szCs w:val="32"/>
        </w:rPr>
        <w:t>其中：一般公共预算7623.08万元</w:t>
      </w:r>
      <w:r>
        <w:rPr>
          <w:rFonts w:ascii="仿宋_GB2312" w:eastAsia="仿宋_GB2312"/>
          <w:sz w:val="32"/>
          <w:szCs w:val="32"/>
        </w:rPr>
        <w:t>;</w:t>
      </w:r>
      <w:r>
        <w:rPr>
          <w:rFonts w:ascii="仿宋_GB2312" w:hAnsi="Times New Roman" w:eastAsia="仿宋_GB2312"/>
          <w:sz w:val="32"/>
          <w:szCs w:val="32"/>
        </w:rPr>
        <w:t xml:space="preserve"> </w:t>
      </w:r>
      <w:r>
        <w:rPr>
          <w:rFonts w:hint="eastAsia" w:ascii="仿宋_GB2312" w:hAnsi="Times New Roman" w:eastAsia="仿宋_GB2312"/>
          <w:sz w:val="32"/>
          <w:szCs w:val="32"/>
        </w:rPr>
        <w:t>政府性基金收入</w:t>
      </w:r>
      <w:r>
        <w:rPr>
          <w:rFonts w:hint="eastAsia" w:ascii="仿宋_GB2312" w:eastAsia="仿宋_GB2312"/>
          <w:sz w:val="32"/>
          <w:szCs w:val="32"/>
        </w:rPr>
        <w:t>3500</w:t>
      </w:r>
      <w:r>
        <w:rPr>
          <w:rFonts w:hint="eastAsia" w:ascii="仿宋_GB2312" w:hAnsi="Times New Roman" w:eastAsia="仿宋_GB2312"/>
          <w:sz w:val="32"/>
          <w:szCs w:val="32"/>
        </w:rPr>
        <w:t>元；专户管理的教育收费</w:t>
      </w:r>
      <w:r>
        <w:rPr>
          <w:rFonts w:hint="eastAsia" w:ascii="仿宋_GB2312" w:eastAsia="仿宋_GB2312"/>
          <w:sz w:val="32"/>
          <w:szCs w:val="32"/>
        </w:rPr>
        <w:t>0</w:t>
      </w:r>
      <w:r>
        <w:rPr>
          <w:rFonts w:hint="eastAsia" w:ascii="仿宋_GB2312" w:hAnsi="Times New Roman" w:eastAsia="仿宋_GB2312"/>
          <w:sz w:val="32"/>
          <w:szCs w:val="32"/>
        </w:rPr>
        <w:t>万元；国有资本经营预算收入</w:t>
      </w:r>
      <w:r>
        <w:rPr>
          <w:rFonts w:hint="eastAsia" w:ascii="仿宋_GB2312" w:eastAsia="仿宋_GB2312"/>
          <w:sz w:val="32"/>
          <w:szCs w:val="32"/>
        </w:rPr>
        <w:t>0</w:t>
      </w:r>
      <w:r>
        <w:rPr>
          <w:rFonts w:hint="eastAsia" w:ascii="仿宋_GB2312" w:hAnsi="Times New Roman" w:eastAsia="仿宋_GB2312"/>
          <w:sz w:val="32"/>
          <w:szCs w:val="32"/>
        </w:rPr>
        <w:t>万元；事业收入</w:t>
      </w:r>
      <w:r>
        <w:rPr>
          <w:rFonts w:hint="eastAsia" w:ascii="仿宋_GB2312" w:eastAsia="仿宋_GB2312"/>
          <w:sz w:val="32"/>
          <w:szCs w:val="32"/>
        </w:rPr>
        <w:t>0</w:t>
      </w:r>
      <w:r>
        <w:rPr>
          <w:rFonts w:hint="eastAsia" w:ascii="仿宋_GB2312" w:hAnsi="Times New Roman" w:eastAsia="仿宋_GB2312"/>
          <w:sz w:val="32"/>
          <w:szCs w:val="32"/>
        </w:rPr>
        <w:t>万元；经营收入</w:t>
      </w:r>
      <w:r>
        <w:rPr>
          <w:rFonts w:hint="eastAsia" w:ascii="仿宋_GB2312" w:eastAsia="仿宋_GB2312"/>
          <w:sz w:val="32"/>
          <w:szCs w:val="32"/>
        </w:rPr>
        <w:t>0</w:t>
      </w:r>
      <w:r>
        <w:rPr>
          <w:rFonts w:hint="eastAsia" w:ascii="仿宋_GB2312" w:hAnsi="Times New Roman" w:eastAsia="仿宋_GB2312"/>
          <w:sz w:val="32"/>
          <w:szCs w:val="32"/>
        </w:rPr>
        <w:t>万元；其他收入</w:t>
      </w:r>
      <w:r>
        <w:rPr>
          <w:rFonts w:hint="eastAsia" w:ascii="仿宋_GB2312" w:eastAsia="仿宋_GB2312"/>
          <w:sz w:val="32"/>
          <w:szCs w:val="32"/>
        </w:rPr>
        <w:t>0</w:t>
      </w:r>
      <w:r>
        <w:rPr>
          <w:rFonts w:hint="eastAsia" w:ascii="仿宋_GB2312" w:hAnsi="Times New Roman" w:eastAsia="仿宋_GB2312"/>
          <w:sz w:val="32"/>
          <w:szCs w:val="32"/>
        </w:rPr>
        <w:t>万元。</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三、部门支出总体情况说明</w:t>
      </w:r>
      <w:r>
        <w:rPr>
          <w:rFonts w:ascii="黑体" w:hAnsi="黑体" w:eastAsia="黑体"/>
          <w:color w:val="FF0000"/>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2024</w:t>
      </w:r>
      <w:r>
        <w:rPr>
          <w:rFonts w:hint="eastAsia" w:ascii="仿宋_GB2312" w:hAnsi="宋体" w:eastAsia="仿宋_GB2312" w:cs="Courier New"/>
          <w:sz w:val="32"/>
          <w:szCs w:val="32"/>
        </w:rPr>
        <w:t>年支出合计</w:t>
      </w:r>
      <w:r>
        <w:rPr>
          <w:rFonts w:hint="eastAsia" w:ascii="仿宋_GB2312" w:eastAsia="仿宋_GB2312"/>
          <w:sz w:val="32"/>
          <w:szCs w:val="32"/>
        </w:rPr>
        <w:t>11123.08</w:t>
      </w:r>
      <w:r>
        <w:rPr>
          <w:rFonts w:hint="eastAsia" w:ascii="仿宋_GB2312" w:hAnsi="宋体" w:eastAsia="仿宋_GB2312" w:cs="Courier New"/>
          <w:sz w:val="32"/>
          <w:szCs w:val="32"/>
        </w:rPr>
        <w:t>万元，其中：基本支出</w:t>
      </w:r>
      <w:r>
        <w:rPr>
          <w:rFonts w:hint="eastAsia" w:ascii="仿宋_GB2312" w:eastAsia="仿宋_GB2312"/>
          <w:sz w:val="32"/>
          <w:szCs w:val="32"/>
        </w:rPr>
        <w:t>1405.09</w:t>
      </w:r>
      <w:r>
        <w:rPr>
          <w:rFonts w:hint="eastAsia" w:ascii="仿宋_GB2312" w:hAnsi="宋体" w:eastAsia="仿宋_GB2312" w:cs="Courier New"/>
          <w:sz w:val="32"/>
          <w:szCs w:val="32"/>
        </w:rPr>
        <w:t>万元，占</w:t>
      </w:r>
      <w:r>
        <w:rPr>
          <w:rFonts w:hint="eastAsia" w:ascii="仿宋_GB2312" w:eastAsia="仿宋_GB2312"/>
          <w:sz w:val="32"/>
          <w:szCs w:val="32"/>
        </w:rPr>
        <w:t>12.63</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eastAsia="仿宋_GB2312"/>
          <w:sz w:val="32"/>
          <w:szCs w:val="32"/>
        </w:rPr>
        <w:t>9717.99</w:t>
      </w:r>
      <w:r>
        <w:rPr>
          <w:rFonts w:hint="eastAsia" w:ascii="仿宋_GB2312" w:hAnsi="宋体" w:eastAsia="仿宋_GB2312" w:cs="Courier New"/>
          <w:sz w:val="32"/>
          <w:szCs w:val="32"/>
        </w:rPr>
        <w:t>万元，占</w:t>
      </w:r>
      <w:r>
        <w:rPr>
          <w:rFonts w:hint="eastAsia" w:ascii="仿宋_GB2312" w:eastAsia="仿宋_GB2312"/>
          <w:sz w:val="32"/>
          <w:szCs w:val="32"/>
        </w:rPr>
        <w:t>87.37</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spacing w:line="560" w:lineRule="exact"/>
        <w:ind w:firstLine="640" w:firstLineChars="200"/>
        <w:rPr>
          <w:rFonts w:ascii="仿宋_GB2312" w:eastAsia="仿宋_GB2312"/>
          <w:color w:val="FF0000"/>
          <w:sz w:val="32"/>
          <w:szCs w:val="32"/>
        </w:rPr>
      </w:pPr>
      <w:r>
        <w:rPr>
          <w:rFonts w:hint="eastAsia" w:ascii="黑体" w:hAnsi="黑体" w:eastAsia="黑体"/>
          <w:sz w:val="32"/>
          <w:szCs w:val="32"/>
        </w:rPr>
        <w:t>四、财政拨款收支总体情况说明</w:t>
      </w:r>
      <w:r>
        <w:rPr>
          <w:rFonts w:ascii="黑体" w:hAnsi="黑体" w:eastAsia="黑体"/>
          <w:color w:val="FF0000"/>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2024</w:t>
      </w:r>
      <w:r>
        <w:rPr>
          <w:rFonts w:hint="eastAsia" w:ascii="仿宋_GB2312" w:hAnsi="宋体" w:eastAsia="仿宋_GB2312" w:cs="Courier New"/>
          <w:sz w:val="32"/>
          <w:szCs w:val="32"/>
        </w:rPr>
        <w:t>年一般公共预算收支预算</w:t>
      </w:r>
      <w:r>
        <w:rPr>
          <w:rFonts w:hint="eastAsia" w:ascii="仿宋_GB2312" w:eastAsia="仿宋_GB2312"/>
          <w:sz w:val="32"/>
          <w:szCs w:val="32"/>
        </w:rPr>
        <w:t>7623.08</w:t>
      </w:r>
      <w:r>
        <w:rPr>
          <w:rFonts w:hint="eastAsia" w:ascii="仿宋_GB2312" w:hAnsi="宋体" w:eastAsia="仿宋_GB2312" w:cs="Courier New"/>
          <w:sz w:val="32"/>
          <w:szCs w:val="32"/>
        </w:rPr>
        <w:t>万元，政府性基金收支预算</w:t>
      </w:r>
      <w:r>
        <w:rPr>
          <w:rFonts w:hint="eastAsia" w:ascii="仿宋_GB2312" w:eastAsia="仿宋_GB2312"/>
          <w:sz w:val="32"/>
          <w:szCs w:val="32"/>
        </w:rPr>
        <w:t>3500</w:t>
      </w:r>
      <w:r>
        <w:rPr>
          <w:rFonts w:hint="eastAsia" w:ascii="仿宋_GB2312" w:hAnsi="宋体" w:eastAsia="仿宋_GB2312" w:cs="Courier New"/>
          <w:sz w:val="32"/>
          <w:szCs w:val="32"/>
        </w:rPr>
        <w:t>万元。与</w:t>
      </w:r>
      <w:r>
        <w:rPr>
          <w:rFonts w:ascii="仿宋_GB2312" w:hAnsi="宋体" w:eastAsia="仿宋_GB2312" w:cs="Courier New"/>
          <w:sz w:val="32"/>
          <w:szCs w:val="32"/>
        </w:rPr>
        <w:t xml:space="preserve"> 20</w:t>
      </w:r>
      <w:r>
        <w:rPr>
          <w:rFonts w:hint="eastAsia" w:ascii="仿宋_GB2312" w:hAnsi="宋体" w:eastAsia="仿宋_GB2312" w:cs="Courier New"/>
          <w:sz w:val="32"/>
          <w:szCs w:val="32"/>
        </w:rPr>
        <w:t>23年相比，一般公共预算收支预算增加1235.77万元，增长19.35</w:t>
      </w:r>
      <w:r>
        <w:rPr>
          <w:rFonts w:ascii="仿宋_GB2312" w:hAnsi="宋体" w:eastAsia="仿宋_GB2312" w:cs="Courier New"/>
          <w:sz w:val="32"/>
          <w:szCs w:val="32"/>
        </w:rPr>
        <w:t>%</w:t>
      </w:r>
      <w:r>
        <w:rPr>
          <w:rFonts w:hint="eastAsia" w:ascii="仿宋_GB2312" w:hAnsi="宋体" w:eastAsia="仿宋_GB2312" w:cs="Courier New"/>
          <w:sz w:val="32"/>
          <w:szCs w:val="32"/>
        </w:rPr>
        <w:t>，主原因：</w:t>
      </w:r>
      <w:r>
        <w:rPr>
          <w:rFonts w:hint="eastAsia" w:ascii="仿宋_GB2312" w:eastAsia="仿宋_GB2312"/>
          <w:sz w:val="32"/>
          <w:szCs w:val="32"/>
        </w:rPr>
        <w:t>增加龙安智慧停车场建设项目龙安体育中心、南林高速西出口道路安全改造项目。</w:t>
      </w:r>
      <w:r>
        <w:rPr>
          <w:rFonts w:hint="eastAsia" w:ascii="仿宋_GB2312" w:hAnsi="宋体" w:eastAsia="仿宋_GB2312" w:cs="Courier New"/>
          <w:sz w:val="32"/>
          <w:szCs w:val="32"/>
        </w:rPr>
        <w:t>政府性基金收支预算增加3500万元，增长3500</w:t>
      </w:r>
      <w:r>
        <w:rPr>
          <w:rFonts w:ascii="仿宋_GB2312" w:hAnsi="宋体" w:eastAsia="仿宋_GB2312" w:cs="Courier New"/>
          <w:sz w:val="32"/>
          <w:szCs w:val="32"/>
        </w:rPr>
        <w:t>%</w:t>
      </w:r>
      <w:r>
        <w:rPr>
          <w:rFonts w:hint="eastAsia" w:ascii="仿宋_GB2312" w:hAnsi="宋体" w:eastAsia="仿宋_GB2312" w:cs="Courier New"/>
          <w:sz w:val="32"/>
          <w:szCs w:val="32"/>
        </w:rPr>
        <w:t>。主要原因：</w:t>
      </w:r>
      <w:r>
        <w:rPr>
          <w:rFonts w:hint="eastAsia" w:ascii="仿宋_GB2312" w:eastAsia="仿宋_GB2312"/>
          <w:sz w:val="32"/>
          <w:szCs w:val="32"/>
        </w:rPr>
        <w:t>增加龙安智慧停车场建设项目。</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五、一般公共预算支出情况说明</w:t>
      </w:r>
      <w:r>
        <w:rPr>
          <w:rFonts w:ascii="黑体" w:hAnsi="黑体" w:eastAsia="黑体"/>
          <w:color w:val="FF0000"/>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2024</w:t>
      </w:r>
      <w:r>
        <w:rPr>
          <w:rFonts w:hint="eastAsia" w:ascii="仿宋_GB2312" w:hAnsi="宋体" w:eastAsia="仿宋_GB2312" w:cs="Courier New"/>
          <w:sz w:val="32"/>
          <w:szCs w:val="32"/>
        </w:rPr>
        <w:t>年一般公共预算支出年初预算为</w:t>
      </w:r>
      <w:r>
        <w:rPr>
          <w:rFonts w:hint="eastAsia" w:ascii="仿宋_GB2312" w:eastAsia="仿宋_GB2312"/>
          <w:sz w:val="32"/>
          <w:szCs w:val="32"/>
        </w:rPr>
        <w:t>7623.08</w:t>
      </w:r>
      <w:r>
        <w:rPr>
          <w:rFonts w:hint="eastAsia" w:ascii="仿宋_GB2312" w:hAnsi="宋体" w:eastAsia="仿宋_GB2312" w:cs="Courier New"/>
          <w:sz w:val="32"/>
          <w:szCs w:val="32"/>
        </w:rPr>
        <w:t>万元，其中：基本支出</w:t>
      </w:r>
      <w:r>
        <w:rPr>
          <w:rFonts w:hint="eastAsia" w:ascii="仿宋_GB2312" w:eastAsia="仿宋_GB2312"/>
          <w:sz w:val="32"/>
          <w:szCs w:val="32"/>
        </w:rPr>
        <w:t>1405.09</w:t>
      </w:r>
      <w:r>
        <w:rPr>
          <w:rFonts w:hint="eastAsia" w:ascii="仿宋_GB2312" w:hAnsi="宋体" w:eastAsia="仿宋_GB2312" w:cs="Courier New"/>
          <w:sz w:val="32"/>
          <w:szCs w:val="32"/>
        </w:rPr>
        <w:t>万元，占</w:t>
      </w:r>
      <w:r>
        <w:rPr>
          <w:rFonts w:hint="eastAsia" w:ascii="仿宋_GB2312" w:eastAsia="仿宋_GB2312"/>
          <w:sz w:val="32"/>
          <w:szCs w:val="32"/>
        </w:rPr>
        <w:t>18.43</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eastAsia="仿宋_GB2312"/>
          <w:sz w:val="32"/>
          <w:szCs w:val="32"/>
        </w:rPr>
        <w:t>6217.99</w:t>
      </w:r>
      <w:r>
        <w:rPr>
          <w:rFonts w:hint="eastAsia" w:ascii="仿宋_GB2312" w:hAnsi="宋体" w:eastAsia="仿宋_GB2312" w:cs="Courier New"/>
          <w:sz w:val="32"/>
          <w:szCs w:val="32"/>
        </w:rPr>
        <w:t>万元，占</w:t>
      </w:r>
      <w:r>
        <w:rPr>
          <w:rFonts w:hint="eastAsia" w:ascii="仿宋_GB2312" w:eastAsia="仿宋_GB2312"/>
          <w:sz w:val="32"/>
          <w:szCs w:val="32"/>
        </w:rPr>
        <w:t>81.57</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六、</w:t>
      </w:r>
      <w:r>
        <w:rPr>
          <w:rFonts w:hint="eastAsia" w:ascii="黑体" w:hAnsi="黑体" w:eastAsia="黑体"/>
          <w:sz w:val="32"/>
          <w:szCs w:val="32"/>
        </w:rPr>
        <w:t>一般公共预算支出情况说明</w:t>
      </w:r>
      <w:r>
        <w:rPr>
          <w:rFonts w:ascii="黑体" w:hAnsi="黑体" w:eastAsia="黑体"/>
          <w:color w:val="FF0000"/>
          <w:sz w:val="32"/>
          <w:szCs w:val="32"/>
        </w:rPr>
        <w:t xml:space="preserve">                   </w:t>
      </w:r>
    </w:p>
    <w:p>
      <w:pPr>
        <w:spacing w:line="560" w:lineRule="exact"/>
        <w:ind w:firstLine="640" w:firstLineChars="200"/>
        <w:rPr>
          <w:rFonts w:ascii="仿宋_GB2312" w:hAnsi="宋体" w:eastAsia="仿宋_GB2312" w:cs="Courier New"/>
          <w:sz w:val="32"/>
          <w:szCs w:val="32"/>
        </w:rPr>
      </w:pPr>
      <w:r>
        <w:rPr>
          <w:rFonts w:hint="eastAsia" w:ascii="仿宋_GB2312" w:eastAsia="仿宋_GB2312"/>
          <w:sz w:val="32"/>
          <w:szCs w:val="32"/>
        </w:rPr>
        <w:t>2024</w:t>
      </w:r>
      <w:r>
        <w:rPr>
          <w:rFonts w:hint="eastAsia" w:ascii="仿宋_GB2312" w:hAnsi="宋体" w:eastAsia="仿宋_GB2312" w:cs="Courier New"/>
          <w:sz w:val="32"/>
          <w:szCs w:val="32"/>
        </w:rPr>
        <w:t>年一般公共预算基本支出年初预算为</w:t>
      </w:r>
      <w:r>
        <w:rPr>
          <w:rFonts w:hint="eastAsia" w:ascii="仿宋_GB2312" w:eastAsia="仿宋_GB2312"/>
          <w:sz w:val="32"/>
          <w:szCs w:val="32"/>
        </w:rPr>
        <w:t>1405.09</w:t>
      </w:r>
      <w:r>
        <w:rPr>
          <w:rFonts w:hint="eastAsia" w:ascii="仿宋_GB2312" w:hAnsi="宋体" w:eastAsia="仿宋_GB2312" w:cs="Courier New"/>
          <w:sz w:val="32"/>
          <w:szCs w:val="32"/>
        </w:rPr>
        <w:t>万元，其中：人员经费</w:t>
      </w:r>
      <w:r>
        <w:rPr>
          <w:rFonts w:hint="eastAsia" w:ascii="仿宋_GB2312" w:eastAsia="仿宋_GB2312"/>
          <w:sz w:val="32"/>
          <w:szCs w:val="32"/>
        </w:rPr>
        <w:t>1273.71</w:t>
      </w:r>
      <w:r>
        <w:rPr>
          <w:rFonts w:hint="eastAsia" w:ascii="仿宋_GB2312" w:hAnsi="宋体" w:eastAsia="仿宋_GB2312" w:cs="Courier New"/>
          <w:sz w:val="32"/>
          <w:szCs w:val="32"/>
        </w:rPr>
        <w:t>万元，占</w:t>
      </w:r>
      <w:r>
        <w:rPr>
          <w:rFonts w:hint="eastAsia" w:ascii="仿宋_GB2312" w:eastAsia="仿宋_GB2312"/>
          <w:sz w:val="32"/>
          <w:szCs w:val="32"/>
        </w:rPr>
        <w:t>90.65</w:t>
      </w:r>
      <w:r>
        <w:rPr>
          <w:rFonts w:ascii="仿宋_GB2312" w:hAnsi="宋体" w:eastAsia="仿宋_GB2312" w:cs="Courier New"/>
          <w:sz w:val="32"/>
          <w:szCs w:val="32"/>
        </w:rPr>
        <w:t>%</w:t>
      </w:r>
      <w:r>
        <w:rPr>
          <w:rFonts w:hint="eastAsia" w:ascii="仿宋_GB2312" w:hAnsi="宋体" w:eastAsia="仿宋_GB2312" w:cs="Courier New"/>
          <w:sz w:val="32"/>
          <w:szCs w:val="32"/>
        </w:rPr>
        <w:t>；公用经费</w:t>
      </w:r>
      <w:r>
        <w:rPr>
          <w:rFonts w:hint="eastAsia" w:ascii="仿宋_GB2312" w:eastAsia="仿宋_GB2312"/>
          <w:sz w:val="32"/>
          <w:szCs w:val="32"/>
        </w:rPr>
        <w:t>131.38</w:t>
      </w:r>
      <w:r>
        <w:rPr>
          <w:rFonts w:hint="eastAsia" w:ascii="仿宋_GB2312" w:hAnsi="宋体" w:eastAsia="仿宋_GB2312" w:cs="Courier New"/>
          <w:sz w:val="32"/>
          <w:szCs w:val="32"/>
        </w:rPr>
        <w:t>万元，占</w:t>
      </w:r>
      <w:r>
        <w:rPr>
          <w:rFonts w:hint="eastAsia" w:ascii="仿宋_GB2312" w:eastAsia="仿宋_GB2312"/>
          <w:sz w:val="32"/>
          <w:szCs w:val="32"/>
        </w:rPr>
        <w:t>9.35</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七、</w:t>
      </w:r>
      <w:r>
        <w:rPr>
          <w:rFonts w:ascii="黑体" w:hAnsi="Times New Roman" w:eastAsia="黑体" w:cs="黑体"/>
          <w:kern w:val="0"/>
          <w:sz w:val="32"/>
          <w:szCs w:val="32"/>
        </w:rPr>
        <w:t xml:space="preserve"> </w:t>
      </w:r>
      <w:r>
        <w:rPr>
          <w:rFonts w:hint="eastAsia" w:ascii="黑体" w:hAnsi="Times New Roman" w:eastAsia="黑体" w:cs="黑体"/>
          <w:kern w:val="0"/>
          <w:sz w:val="32"/>
          <w:szCs w:val="32"/>
        </w:rPr>
        <w:t>一般公共预算“三公”经费支出情况说明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我部门2024</w:t>
      </w:r>
      <w:r>
        <w:rPr>
          <w:rFonts w:hint="eastAsia" w:ascii="仿宋_GB2312" w:hAnsi="宋体" w:eastAsia="仿宋_GB2312" w:cs="Courier New"/>
          <w:sz w:val="32"/>
          <w:szCs w:val="32"/>
        </w:rPr>
        <w:t>年“三公”经费预算为</w:t>
      </w:r>
      <w:r>
        <w:rPr>
          <w:rFonts w:hint="eastAsia" w:ascii="仿宋_GB2312" w:eastAsia="仿宋_GB2312"/>
          <w:sz w:val="32"/>
          <w:szCs w:val="32"/>
        </w:rPr>
        <w:t>10.8</w:t>
      </w:r>
      <w:r>
        <w:rPr>
          <w:rFonts w:hint="eastAsia" w:ascii="仿宋_GB2312" w:hAnsi="宋体" w:eastAsia="仿宋_GB2312" w:cs="Courier New"/>
          <w:sz w:val="32"/>
          <w:szCs w:val="32"/>
        </w:rPr>
        <w:t>万元。</w:t>
      </w:r>
      <w:r>
        <w:rPr>
          <w:rFonts w:ascii="仿宋_GB2312" w:hAnsi="宋体" w:eastAsia="仿宋_GB2312" w:cs="Courier New"/>
          <w:sz w:val="32"/>
          <w:szCs w:val="32"/>
        </w:rPr>
        <w:t>20</w:t>
      </w:r>
      <w:r>
        <w:rPr>
          <w:rFonts w:hint="eastAsia" w:ascii="仿宋_GB2312" w:hAnsi="宋体" w:eastAsia="仿宋_GB2312" w:cs="Courier New"/>
          <w:sz w:val="32"/>
          <w:szCs w:val="32"/>
        </w:rPr>
        <w:t>23年“三公”经费支出预算数比</w:t>
      </w:r>
      <w:r>
        <w:rPr>
          <w:rFonts w:ascii="仿宋_GB2312" w:hAnsi="宋体" w:eastAsia="仿宋_GB2312" w:cs="Courier New"/>
          <w:sz w:val="32"/>
          <w:szCs w:val="32"/>
        </w:rPr>
        <w:t xml:space="preserve"> 20</w:t>
      </w:r>
      <w:r>
        <w:rPr>
          <w:rFonts w:hint="eastAsia" w:ascii="仿宋_GB2312" w:hAnsi="宋体" w:eastAsia="仿宋_GB2312" w:cs="Courier New"/>
          <w:sz w:val="32"/>
          <w:szCs w:val="32"/>
        </w:rPr>
        <w:t>22年减少12.7万元。</w:t>
      </w:r>
    </w:p>
    <w:p>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具体支出情况如下：</w:t>
      </w:r>
    </w:p>
    <w:p>
      <w:pPr>
        <w:kinsoku w:val="0"/>
        <w:overflowPunct w:val="0"/>
        <w:autoSpaceDE w:val="0"/>
        <w:autoSpaceDN w:val="0"/>
        <w:adjustRightInd w:val="0"/>
        <w:snapToGrid w:val="0"/>
        <w:spacing w:line="560" w:lineRule="exact"/>
        <w:ind w:firstLine="639"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（一）因公出国（境）费</w:t>
      </w:r>
      <w:r>
        <w:rPr>
          <w:rFonts w:hint="eastAsia" w:ascii="仿宋_GB2312" w:eastAsia="仿宋_GB2312"/>
          <w:sz w:val="32"/>
          <w:szCs w:val="32"/>
        </w:rPr>
        <w:t>0</w:t>
      </w:r>
      <w:r>
        <w:rPr>
          <w:rFonts w:hint="eastAsia" w:ascii="仿宋_GB2312" w:hAnsi="Times New Roman" w:eastAsia="仿宋_GB2312"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主要用于单位工作人员公务出国（境）的住宿费、旅费、伙食补助费、杂费、培训费等支出。因公出国（境）费预算数与</w:t>
      </w:r>
      <w:r>
        <w:rPr>
          <w:rFonts w:ascii="仿宋_GB2312" w:hAnsi="宋体" w:eastAsia="仿宋_GB2312" w:cs="Courier New"/>
          <w:sz w:val="32"/>
          <w:szCs w:val="32"/>
        </w:rPr>
        <w:t>20</w:t>
      </w:r>
      <w:r>
        <w:rPr>
          <w:rFonts w:hint="eastAsia" w:ascii="仿宋_GB2312" w:hAnsi="宋体" w:eastAsia="仿宋_GB2312" w:cs="Courier New"/>
          <w:sz w:val="32"/>
          <w:szCs w:val="32"/>
        </w:rPr>
        <w:t>22年相比，增加</w:t>
      </w:r>
      <w:r>
        <w:rPr>
          <w:rFonts w:hint="eastAsia" w:ascii="仿宋_GB2312" w:eastAsia="仿宋_GB2312"/>
          <w:sz w:val="32"/>
          <w:szCs w:val="32"/>
        </w:rPr>
        <w:t>0</w:t>
      </w:r>
      <w:r>
        <w:rPr>
          <w:rFonts w:hint="eastAsia" w:ascii="仿宋_GB2312" w:hAnsi="宋体" w:eastAsia="仿宋_GB2312" w:cs="Courier New"/>
          <w:sz w:val="32"/>
          <w:szCs w:val="32"/>
        </w:rPr>
        <w:t>万元。主要原因：</w:t>
      </w:r>
      <w:r>
        <w:rPr>
          <w:rFonts w:hint="eastAsia" w:ascii="仿宋_GB2312" w:eastAsia="仿宋_GB2312"/>
          <w:sz w:val="32"/>
          <w:szCs w:val="32"/>
        </w:rPr>
        <w:t>我单位无出国经费</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560" w:lineRule="exact"/>
        <w:ind w:firstLine="639"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（二）公务用车购置及运行费</w:t>
      </w:r>
      <w:r>
        <w:rPr>
          <w:rFonts w:hint="eastAsia" w:ascii="仿宋_GB2312" w:eastAsia="仿宋_GB2312"/>
          <w:sz w:val="32"/>
          <w:szCs w:val="32"/>
        </w:rPr>
        <w:t>10.8</w:t>
      </w:r>
      <w:r>
        <w:rPr>
          <w:rFonts w:hint="eastAsia" w:ascii="仿宋_GB2312" w:hAnsi="Times New Roman" w:eastAsia="仿宋_GB2312" w:cs="仿宋_GB2312"/>
          <w:kern w:val="0"/>
          <w:sz w:val="32"/>
          <w:szCs w:val="32"/>
        </w:rPr>
        <w:t>万</w:t>
      </w:r>
      <w:r>
        <w:rPr>
          <w:rFonts w:hint="eastAsia" w:ascii="仿宋_GB2312" w:hAnsi="宋体" w:eastAsia="仿宋_GB2312" w:cs="Courier New"/>
          <w:sz w:val="32"/>
          <w:szCs w:val="32"/>
        </w:rPr>
        <w:t>元，其中，公务用车购置费</w:t>
      </w:r>
      <w:r>
        <w:rPr>
          <w:rFonts w:hint="eastAsia" w:ascii="仿宋_GB2312" w:eastAsia="仿宋_GB2312"/>
          <w:sz w:val="32"/>
          <w:szCs w:val="32"/>
        </w:rPr>
        <w:t>0</w:t>
      </w:r>
      <w:r>
        <w:rPr>
          <w:rFonts w:hint="eastAsia" w:ascii="仿宋_GB2312" w:hAnsi="宋体" w:eastAsia="仿宋_GB2312" w:cs="Courier New"/>
          <w:sz w:val="32"/>
          <w:szCs w:val="32"/>
        </w:rPr>
        <w:t>万元；公务用车运行维护费</w:t>
      </w:r>
      <w:r>
        <w:rPr>
          <w:rFonts w:hint="eastAsia" w:ascii="仿宋_GB2312" w:eastAsia="仿宋_GB2312"/>
          <w:sz w:val="32"/>
          <w:szCs w:val="32"/>
        </w:rPr>
        <w:t>10.8</w:t>
      </w:r>
      <w:r>
        <w:rPr>
          <w:rFonts w:hint="eastAsia" w:ascii="仿宋_GB2312" w:hAnsi="宋体" w:eastAsia="仿宋_GB2312" w:cs="Courier New"/>
          <w:sz w:val="32"/>
          <w:szCs w:val="32"/>
        </w:rPr>
        <w:t>万元，主要用于开展工作所需公务用车的燃料费、维修费、过路过桥费、保险费、安全奖励费用等支出。公务用车购置费预算数与</w:t>
      </w:r>
      <w:r>
        <w:rPr>
          <w:rFonts w:ascii="仿宋_GB2312" w:hAnsi="宋体" w:eastAsia="仿宋_GB2312" w:cs="Courier New"/>
          <w:sz w:val="32"/>
          <w:szCs w:val="32"/>
        </w:rPr>
        <w:t xml:space="preserve"> 20</w:t>
      </w:r>
      <w:r>
        <w:rPr>
          <w:rFonts w:hint="eastAsia" w:ascii="仿宋_GB2312" w:hAnsi="宋体" w:eastAsia="仿宋_GB2312" w:cs="Courier New"/>
          <w:sz w:val="32"/>
          <w:szCs w:val="32"/>
        </w:rPr>
        <w:t>23年相比增加</w:t>
      </w:r>
      <w:r>
        <w:rPr>
          <w:rFonts w:hint="eastAsia" w:ascii="仿宋_GB2312" w:eastAsia="仿宋_GB2312"/>
          <w:sz w:val="32"/>
          <w:szCs w:val="32"/>
        </w:rPr>
        <w:t>0</w:t>
      </w:r>
      <w:r>
        <w:rPr>
          <w:rFonts w:hint="eastAsia" w:ascii="仿宋_GB2312" w:hAnsi="宋体" w:eastAsia="仿宋_GB2312" w:cs="Courier New"/>
          <w:sz w:val="32"/>
          <w:szCs w:val="32"/>
        </w:rPr>
        <w:t>万元，主要原因：</w:t>
      </w:r>
      <w:r>
        <w:rPr>
          <w:rFonts w:hint="eastAsia" w:ascii="仿宋_GB2312" w:eastAsia="仿宋_GB2312"/>
          <w:sz w:val="32"/>
          <w:szCs w:val="32"/>
        </w:rPr>
        <w:t>节能减排</w:t>
      </w:r>
      <w:r>
        <w:rPr>
          <w:rFonts w:hint="eastAsia" w:ascii="仿宋_GB2312" w:hAnsi="宋体" w:eastAsia="仿宋_GB2312" w:cs="Courier New"/>
          <w:sz w:val="32"/>
          <w:szCs w:val="32"/>
        </w:rPr>
        <w:t>。公务用车运行维护费预算数比</w:t>
      </w:r>
      <w:r>
        <w:rPr>
          <w:rFonts w:ascii="仿宋_GB2312" w:hAnsi="宋体" w:eastAsia="仿宋_GB2312" w:cs="Courier New"/>
          <w:sz w:val="32"/>
          <w:szCs w:val="32"/>
        </w:rPr>
        <w:t xml:space="preserve"> 20</w:t>
      </w:r>
      <w:r>
        <w:rPr>
          <w:rFonts w:hint="eastAsia" w:ascii="仿宋_GB2312" w:hAnsi="宋体" w:eastAsia="仿宋_GB2312" w:cs="Courier New"/>
          <w:sz w:val="32"/>
          <w:szCs w:val="32"/>
        </w:rPr>
        <w:t>23年</w:t>
      </w:r>
      <w:bookmarkStart w:id="0" w:name="OLE_LINK1"/>
      <w:r>
        <w:rPr>
          <w:rFonts w:hint="eastAsia" w:ascii="仿宋_GB2312" w:hAnsi="宋体" w:eastAsia="仿宋_GB2312" w:cs="Courier New"/>
          <w:sz w:val="32"/>
          <w:szCs w:val="32"/>
        </w:rPr>
        <w:t>减少12.7万元</w:t>
      </w:r>
      <w:bookmarkEnd w:id="0"/>
      <w:r>
        <w:rPr>
          <w:rFonts w:hint="eastAsia" w:ascii="仿宋_GB2312" w:hAnsi="宋体" w:eastAsia="仿宋_GB2312" w:cs="Courier New"/>
          <w:sz w:val="32"/>
          <w:szCs w:val="32"/>
        </w:rPr>
        <w:t>，主要原因：</w:t>
      </w:r>
      <w:r>
        <w:rPr>
          <w:rFonts w:hint="eastAsia" w:ascii="仿宋_GB2312" w:eastAsia="仿宋_GB2312"/>
          <w:sz w:val="32"/>
          <w:szCs w:val="32"/>
        </w:rPr>
        <w:t>节能减排</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39"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（三）公务接待费</w:t>
      </w:r>
      <w:r>
        <w:rPr>
          <w:rFonts w:hint="eastAsia" w:ascii="仿宋_GB2312" w:eastAsia="仿宋_GB2312"/>
          <w:sz w:val="32"/>
          <w:szCs w:val="32"/>
        </w:rPr>
        <w:t>0</w:t>
      </w:r>
      <w:r>
        <w:rPr>
          <w:rFonts w:hint="eastAsia" w:ascii="仿宋_GB2312" w:hAnsi="宋体" w:eastAsia="仿宋_GB2312" w:cs="Courier New"/>
          <w:sz w:val="32"/>
          <w:szCs w:val="32"/>
        </w:rPr>
        <w:t>万元，主要用于按规定开支的各类公务接待（含外宾接待）支出。公务接待费预算数比</w:t>
      </w:r>
      <w:r>
        <w:rPr>
          <w:rFonts w:ascii="仿宋_GB2312" w:hAnsi="宋体" w:eastAsia="仿宋_GB2312" w:cs="Courier New"/>
          <w:sz w:val="32"/>
          <w:szCs w:val="32"/>
        </w:rPr>
        <w:t xml:space="preserve"> 20</w:t>
      </w:r>
      <w:r>
        <w:rPr>
          <w:rFonts w:hint="eastAsia" w:ascii="仿宋_GB2312" w:hAnsi="宋体" w:eastAsia="仿宋_GB2312" w:cs="Courier New"/>
          <w:sz w:val="32"/>
          <w:szCs w:val="32"/>
        </w:rPr>
        <w:t>23年减少1.5万元。主要原因：</w:t>
      </w:r>
      <w:r>
        <w:rPr>
          <w:rFonts w:hint="eastAsia" w:ascii="仿宋_GB2312" w:eastAsia="仿宋_GB2312"/>
          <w:sz w:val="32"/>
          <w:szCs w:val="32"/>
        </w:rPr>
        <w:t>减少支出</w:t>
      </w:r>
      <w:r>
        <w:rPr>
          <w:rFonts w:hint="eastAsia" w:ascii="仿宋_GB2312" w:hAnsi="宋体" w:eastAsia="仿宋_GB2312" w:cs="Courier New"/>
          <w:sz w:val="32"/>
          <w:szCs w:val="32"/>
        </w:rPr>
        <w:t>。</w:t>
      </w:r>
    </w:p>
    <w:p>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八、政府性基金预算支出情况说明</w:t>
      </w:r>
    </w:p>
    <w:p>
      <w:pPr>
        <w:spacing w:line="560" w:lineRule="exact"/>
        <w:ind w:firstLine="640" w:firstLineChars="200"/>
        <w:rPr>
          <w:rFonts w:ascii="仿宋_GB2312" w:eastAsia="仿宋_GB2312"/>
          <w:sz w:val="32"/>
          <w:szCs w:val="32"/>
        </w:rPr>
      </w:pPr>
      <w:r>
        <w:rPr>
          <w:rFonts w:hint="eastAsia" w:ascii="仿宋_GB2312" w:eastAsia="仿宋_GB2312"/>
          <w:bCs/>
          <w:sz w:val="32"/>
          <w:szCs w:val="32"/>
        </w:rPr>
        <w:t>我部门2024年政府性基金预算安排支出3500万元，</w:t>
      </w:r>
      <w:r>
        <w:rPr>
          <w:rFonts w:hint="eastAsia" w:ascii="仿宋_GB2312" w:hAnsi="宋体" w:eastAsia="仿宋_GB2312" w:cs="Courier New"/>
          <w:sz w:val="32"/>
          <w:szCs w:val="32"/>
        </w:rPr>
        <w:t>其中：基本支出</w:t>
      </w:r>
      <w:r>
        <w:rPr>
          <w:rFonts w:hint="eastAsia" w:ascii="仿宋_GB2312" w:eastAsia="仿宋_GB2312"/>
          <w:sz w:val="32"/>
          <w:szCs w:val="32"/>
        </w:rPr>
        <w:t>0</w:t>
      </w:r>
      <w:r>
        <w:rPr>
          <w:rFonts w:hint="eastAsia" w:ascii="仿宋_GB2312" w:hAnsi="宋体" w:eastAsia="仿宋_GB2312" w:cs="Courier New"/>
          <w:sz w:val="32"/>
          <w:szCs w:val="32"/>
        </w:rPr>
        <w:t>万元，占</w:t>
      </w:r>
      <w:r>
        <w:rPr>
          <w:rFonts w:hint="eastAsia" w:ascii="仿宋_GB2312" w:eastAsia="仿宋_GB2312"/>
          <w:sz w:val="32"/>
          <w:szCs w:val="32"/>
        </w:rPr>
        <w:t>0</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eastAsia="仿宋_GB2312"/>
          <w:sz w:val="32"/>
          <w:szCs w:val="32"/>
        </w:rPr>
        <w:t>3500</w:t>
      </w:r>
      <w:r>
        <w:rPr>
          <w:rFonts w:hint="eastAsia" w:ascii="仿宋_GB2312" w:hAnsi="宋体" w:eastAsia="仿宋_GB2312" w:cs="Courier New"/>
          <w:sz w:val="32"/>
          <w:szCs w:val="32"/>
        </w:rPr>
        <w:t>万元，占</w:t>
      </w:r>
      <w:r>
        <w:rPr>
          <w:rFonts w:hint="eastAsia" w:ascii="仿宋_GB2312" w:eastAsia="仿宋_GB2312"/>
          <w:sz w:val="32"/>
          <w:szCs w:val="32"/>
        </w:rPr>
        <w:t>3500</w:t>
      </w:r>
      <w:r>
        <w:rPr>
          <w:rFonts w:ascii="仿宋_GB2312" w:hAnsi="宋体" w:eastAsia="仿宋_GB2312" w:cs="Courier New"/>
          <w:sz w:val="32"/>
          <w:szCs w:val="32"/>
        </w:rPr>
        <w:t>%</w:t>
      </w:r>
      <w:r>
        <w:rPr>
          <w:rFonts w:hint="eastAsia" w:ascii="仿宋_GB2312" w:eastAsia="仿宋_GB2312"/>
          <w:sz w:val="32"/>
          <w:szCs w:val="32"/>
        </w:rPr>
        <w:t>。</w:t>
      </w:r>
    </w:p>
    <w:p>
      <w:pPr>
        <w:kinsoku w:val="0"/>
        <w:overflowPunct w:val="0"/>
        <w:adjustRightInd w:val="0"/>
        <w:snapToGrid w:val="0"/>
        <w:spacing w:line="360" w:lineRule="auto"/>
        <w:ind w:firstLine="643" w:firstLineChars="200"/>
        <w:jc w:val="left"/>
        <w:rPr>
          <w:rFonts w:ascii="仿宋_GB2312" w:eastAsia="仿宋_GB2312"/>
          <w:b/>
          <w:color w:val="FF0000"/>
          <w:sz w:val="32"/>
          <w:szCs w:val="32"/>
        </w:rPr>
      </w:pPr>
    </w:p>
    <w:p>
      <w:pPr>
        <w:kinsoku w:val="0"/>
        <w:overflowPunct w:val="0"/>
        <w:adjustRightInd w:val="0"/>
        <w:snapToGrid w:val="0"/>
        <w:spacing w:line="360" w:lineRule="auto"/>
        <w:ind w:firstLine="643" w:firstLineChars="200"/>
        <w:jc w:val="left"/>
        <w:rPr>
          <w:rFonts w:ascii="仿宋_GB2312" w:hAnsi="Times New Roman" w:eastAsia="仿宋_GB2312" w:cs="仿宋_GB2312"/>
          <w:b/>
          <w:sz w:val="32"/>
          <w:szCs w:val="32"/>
        </w:rPr>
      </w:pPr>
      <w:r>
        <w:rPr>
          <w:rFonts w:hint="eastAsia" w:ascii="仿宋_GB2312" w:eastAsia="仿宋_GB2312"/>
          <w:b/>
          <w:color w:val="000000"/>
          <w:sz w:val="32"/>
          <w:szCs w:val="32"/>
          <w:shd w:val="clear" w:color="auto" w:fill="FFFFFF"/>
        </w:rPr>
        <w:t>九、其他重要事项的情况说明</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Times New Roman" w:eastAsia="仿宋_GB2312" w:cs="仿宋_GB2312"/>
          <w:b/>
          <w:kern w:val="0"/>
          <w:sz w:val="32"/>
          <w:szCs w:val="32"/>
        </w:rPr>
        <w:t>（一）机关运行经费支出情况</w:t>
      </w:r>
    </w:p>
    <w:p>
      <w:pPr>
        <w:kinsoku w:val="0"/>
        <w:overflowPunct w:val="0"/>
        <w:autoSpaceDE w:val="0"/>
        <w:autoSpaceDN w:val="0"/>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2024</w:t>
      </w:r>
      <w:r>
        <w:rPr>
          <w:rFonts w:hint="eastAsia" w:ascii="仿宋_GB2312" w:hAnsi="宋体" w:eastAsia="仿宋_GB2312" w:cs="Courier New"/>
          <w:sz w:val="32"/>
          <w:szCs w:val="32"/>
        </w:rPr>
        <w:t>年机关运行经费支出预算</w:t>
      </w:r>
      <w:r>
        <w:rPr>
          <w:rFonts w:hint="eastAsia" w:ascii="仿宋_GB2312" w:eastAsia="仿宋_GB2312"/>
          <w:sz w:val="32"/>
          <w:szCs w:val="32"/>
        </w:rPr>
        <w:t>211.7</w:t>
      </w:r>
      <w:r>
        <w:rPr>
          <w:rFonts w:hint="eastAsia" w:ascii="仿宋_GB2312" w:hAnsi="宋体" w:eastAsia="仿宋_GB2312" w:cs="Courier New"/>
          <w:sz w:val="32"/>
          <w:szCs w:val="32"/>
        </w:rPr>
        <w:t>万元，</w:t>
      </w:r>
      <w:r>
        <w:rPr>
          <w:rFonts w:hint="eastAsia" w:ascii="仿宋_GB2312" w:eastAsia="仿宋_GB2312"/>
          <w:sz w:val="32"/>
          <w:szCs w:val="32"/>
        </w:rPr>
        <w:t>主要保障机构正常运行及正常履职需要所需支出，包括公用经费、公务交通补贴、工会经费、职工福利等。</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kern w:val="0"/>
          <w:sz w:val="32"/>
          <w:szCs w:val="32"/>
        </w:rPr>
      </w:pPr>
      <w:r>
        <w:rPr>
          <w:rFonts w:ascii="仿宋_GB2312" w:eastAsia="仿宋_GB2312"/>
          <w:sz w:val="32"/>
          <w:szCs w:val="32"/>
        </w:rPr>
        <w:t>20</w:t>
      </w:r>
      <w:r>
        <w:rPr>
          <w:rFonts w:hint="eastAsia" w:ascii="仿宋_GB2312" w:eastAsia="仿宋_GB2312"/>
          <w:sz w:val="32"/>
          <w:szCs w:val="32"/>
        </w:rPr>
        <w:t>24年政府采购预算安排4.89万元，其中：政府采购货物预算4.89万元。</w:t>
      </w:r>
    </w:p>
    <w:p>
      <w:pPr>
        <w:kinsoku w:val="0"/>
        <w:overflowPunct w:val="0"/>
        <w:adjustRightInd w:val="0"/>
        <w:snapToGrid w:val="0"/>
        <w:spacing w:line="360" w:lineRule="auto"/>
        <w:ind w:firstLine="482" w:firstLineChars="150"/>
        <w:jc w:val="left"/>
        <w:rPr>
          <w:rFonts w:ascii="仿宋_GB2312" w:hAnsi="Times New Roman" w:eastAsia="仿宋_GB2312" w:cs="仿宋_GB2312"/>
          <w:b/>
          <w:sz w:val="32"/>
          <w:szCs w:val="32"/>
        </w:rPr>
      </w:pPr>
      <w:r>
        <w:rPr>
          <w:rFonts w:hint="eastAsia" w:ascii="仿宋_GB2312" w:hAnsi="Times New Roman" w:eastAsia="仿宋_GB2312" w:cs="仿宋_GB2312"/>
          <w:b/>
          <w:kern w:val="0"/>
          <w:sz w:val="32"/>
          <w:szCs w:val="32"/>
        </w:rPr>
        <w:t>（三）</w:t>
      </w:r>
      <w:r>
        <w:rPr>
          <w:rFonts w:hint="eastAsia" w:ascii="仿宋_GB2312" w:hAnsi="Times New Roman" w:eastAsia="仿宋_GB2312" w:cs="仿宋_GB2312"/>
          <w:b/>
          <w:sz w:val="32"/>
          <w:szCs w:val="32"/>
        </w:rPr>
        <w:t>绩效目标设置情况</w:t>
      </w:r>
    </w:p>
    <w:p>
      <w:pPr>
        <w:kinsoku w:val="0"/>
        <w:overflowPunct w:val="0"/>
        <w:autoSpaceDE w:val="0"/>
        <w:autoSpaceDN w:val="0"/>
        <w:adjustRightInd w:val="0"/>
        <w:snapToGrid w:val="0"/>
        <w:spacing w:line="360" w:lineRule="auto"/>
        <w:ind w:firstLine="800" w:firstLineChars="250"/>
        <w:rPr>
          <w:rFonts w:ascii="仿宋_GB2312" w:hAnsi="宋体" w:eastAsia="仿宋_GB2312" w:cs="Courier New"/>
          <w:sz w:val="32"/>
          <w:szCs w:val="32"/>
        </w:rPr>
      </w:pPr>
      <w:r>
        <w:rPr>
          <w:rFonts w:hint="eastAsia" w:ascii="仿宋_GB2312" w:eastAsia="仿宋_GB2312"/>
          <w:sz w:val="32"/>
          <w:szCs w:val="32"/>
        </w:rPr>
        <w:t>我</w:t>
      </w:r>
      <w:r>
        <w:rPr>
          <w:rFonts w:hint="eastAsia" w:ascii="仿宋_GB2312" w:hAnsi="宋体" w:eastAsia="仿宋_GB2312" w:cs="Courier New"/>
          <w:sz w:val="32"/>
          <w:szCs w:val="32"/>
        </w:rPr>
        <w:t>部门2024年预算项目分别从项目产出、项目效益、项目满意度等方面设立了绩效目标，综合反映了预算的数量、质量，社会经济效益、可持续影响及服务对象满意度等情况。</w:t>
      </w:r>
    </w:p>
    <w:p>
      <w:pPr>
        <w:spacing w:line="360" w:lineRule="auto"/>
        <w:ind w:firstLine="800"/>
        <w:rPr>
          <w:rFonts w:ascii="仿宋_GB2312" w:hAnsi="宋体" w:eastAsia="仿宋_GB2312" w:cs="Courier New"/>
          <w:sz w:val="32"/>
          <w:szCs w:val="32"/>
        </w:rPr>
      </w:pPr>
      <w:r>
        <w:rPr>
          <w:rFonts w:ascii="仿宋_GB2312" w:hAnsi="宋体" w:eastAsia="仿宋_GB2312" w:cs="Courier New"/>
          <w:sz w:val="32"/>
          <w:szCs w:val="32"/>
        </w:rPr>
        <w:t>202</w:t>
      </w:r>
      <w:r>
        <w:rPr>
          <w:rFonts w:hint="eastAsia" w:ascii="仿宋_GB2312" w:hAnsi="宋体" w:eastAsia="仿宋_GB2312" w:cs="Courier New"/>
          <w:sz w:val="32"/>
          <w:szCs w:val="32"/>
        </w:rPr>
        <w:t>4</w:t>
      </w:r>
      <w:r>
        <w:rPr>
          <w:rFonts w:ascii="仿宋_GB2312" w:hAnsi="宋体" w:eastAsia="仿宋_GB2312" w:cs="Courier New"/>
          <w:sz w:val="32"/>
          <w:szCs w:val="32"/>
        </w:rPr>
        <w:t>年，我部门拟组织对</w:t>
      </w:r>
      <w:r>
        <w:rPr>
          <w:rFonts w:hint="eastAsia" w:ascii="仿宋_GB2312" w:hAnsi="宋体" w:eastAsia="仿宋_GB2312" w:cs="Courier New"/>
          <w:sz w:val="32"/>
          <w:szCs w:val="32"/>
        </w:rPr>
        <w:t>9</w:t>
      </w:r>
      <w:r>
        <w:rPr>
          <w:rFonts w:ascii="仿宋_GB2312" w:hAnsi="宋体" w:eastAsia="仿宋_GB2312" w:cs="Courier New"/>
          <w:sz w:val="32"/>
          <w:szCs w:val="32"/>
        </w:rPr>
        <w:t>个项目进行预算绩效评价，涉及资金</w:t>
      </w:r>
      <w:r>
        <w:rPr>
          <w:rFonts w:hint="eastAsia" w:ascii="仿宋_GB2312" w:hAnsi="宋体" w:eastAsia="仿宋_GB2312" w:cs="Courier New"/>
          <w:sz w:val="32"/>
          <w:szCs w:val="32"/>
        </w:rPr>
        <w:t>9718</w:t>
      </w:r>
      <w:r>
        <w:rPr>
          <w:rFonts w:ascii="仿宋_GB2312" w:hAnsi="宋体" w:eastAsia="仿宋_GB2312" w:cs="Courier New"/>
          <w:sz w:val="32"/>
          <w:szCs w:val="32"/>
        </w:rPr>
        <w:t>万元。具体项目如下：</w:t>
      </w:r>
    </w:p>
    <w:p>
      <w:pPr>
        <w:kinsoku w:val="0"/>
        <w:overflowPunct w:val="0"/>
        <w:autoSpaceDE w:val="0"/>
        <w:autoSpaceDN w:val="0"/>
        <w:adjustRightInd w:val="0"/>
        <w:snapToGrid w:val="0"/>
        <w:spacing w:line="360" w:lineRule="auto"/>
        <w:ind w:firstLine="800" w:firstLineChars="250"/>
        <w:rPr>
          <w:rFonts w:ascii="仿宋_GB2312" w:hAnsi="宋体" w:eastAsia="仿宋_GB2312" w:cs="Courier New"/>
          <w:sz w:val="32"/>
          <w:szCs w:val="32"/>
        </w:rPr>
      </w:pPr>
      <w:r>
        <w:rPr>
          <w:rFonts w:hint="eastAsia" w:ascii="仿宋_GB2312" w:hAnsi="宋体" w:eastAsia="仿宋_GB2312" w:cs="Courier New"/>
          <w:sz w:val="32"/>
          <w:szCs w:val="32"/>
        </w:rPr>
        <w:t>1、2024AK替代设备购置费6.1万元，保障单位办公运行。</w:t>
      </w:r>
    </w:p>
    <w:p>
      <w:pPr>
        <w:kinsoku w:val="0"/>
        <w:overflowPunct w:val="0"/>
        <w:autoSpaceDE w:val="0"/>
        <w:autoSpaceDN w:val="0"/>
        <w:adjustRightInd w:val="0"/>
        <w:snapToGrid w:val="0"/>
        <w:spacing w:line="360" w:lineRule="auto"/>
        <w:ind w:firstLine="800" w:firstLineChars="250"/>
        <w:rPr>
          <w:rFonts w:ascii="仿宋_GB2312" w:hAnsi="宋体" w:eastAsia="仿宋_GB2312" w:cs="Courier New"/>
          <w:sz w:val="32"/>
          <w:szCs w:val="32"/>
        </w:rPr>
      </w:pPr>
      <w:r>
        <w:rPr>
          <w:rFonts w:hint="eastAsia" w:ascii="仿宋_GB2312" w:hAnsi="宋体" w:eastAsia="仿宋_GB2312" w:cs="Courier New"/>
          <w:sz w:val="32"/>
          <w:szCs w:val="32"/>
        </w:rPr>
        <w:t>2、数字化运转50万元，保障单位执法工作整体运行。</w:t>
      </w:r>
    </w:p>
    <w:p>
      <w:pPr>
        <w:kinsoku w:val="0"/>
        <w:overflowPunct w:val="0"/>
        <w:autoSpaceDE w:val="0"/>
        <w:autoSpaceDN w:val="0"/>
        <w:adjustRightInd w:val="0"/>
        <w:snapToGrid w:val="0"/>
        <w:spacing w:line="360" w:lineRule="auto"/>
        <w:ind w:firstLine="800" w:firstLineChars="250"/>
        <w:rPr>
          <w:rFonts w:ascii="仿宋_GB2312" w:hAnsi="宋体" w:eastAsia="仿宋_GB2312" w:cs="Courier New"/>
          <w:sz w:val="32"/>
          <w:szCs w:val="32"/>
        </w:rPr>
      </w:pPr>
      <w:r>
        <w:rPr>
          <w:rFonts w:hint="eastAsia" w:ascii="仿宋_GB2312" w:hAnsi="宋体" w:eastAsia="仿宋_GB2312" w:cs="Courier New"/>
          <w:sz w:val="32"/>
          <w:szCs w:val="32"/>
        </w:rPr>
        <w:t>3、国庆春节期间挂灯笼国旗35万元，提高辖区节日气氛与群众幸福感。</w:t>
      </w:r>
    </w:p>
    <w:p>
      <w:pPr>
        <w:kinsoku w:val="0"/>
        <w:overflowPunct w:val="0"/>
        <w:autoSpaceDE w:val="0"/>
        <w:autoSpaceDN w:val="0"/>
        <w:adjustRightInd w:val="0"/>
        <w:snapToGrid w:val="0"/>
        <w:spacing w:line="360" w:lineRule="auto"/>
        <w:ind w:firstLine="800" w:firstLineChars="250"/>
        <w:rPr>
          <w:rFonts w:ascii="仿宋_GB2312" w:hAnsi="宋体" w:eastAsia="仿宋_GB2312" w:cs="Courier New"/>
          <w:sz w:val="32"/>
          <w:szCs w:val="32"/>
        </w:rPr>
      </w:pPr>
      <w:r>
        <w:rPr>
          <w:rFonts w:hint="eastAsia" w:ascii="仿宋_GB2312" w:hAnsi="宋体" w:eastAsia="仿宋_GB2312" w:cs="Courier New"/>
          <w:sz w:val="32"/>
          <w:szCs w:val="32"/>
        </w:rPr>
        <w:t>4、南林高速西出口道路安全改造项目890万元，保障辖区道路安全畅通</w:t>
      </w:r>
    </w:p>
    <w:p>
      <w:pPr>
        <w:kinsoku w:val="0"/>
        <w:overflowPunct w:val="0"/>
        <w:autoSpaceDE w:val="0"/>
        <w:autoSpaceDN w:val="0"/>
        <w:adjustRightInd w:val="0"/>
        <w:snapToGrid w:val="0"/>
        <w:spacing w:line="360" w:lineRule="auto"/>
        <w:ind w:firstLine="800" w:firstLineChars="250"/>
        <w:rPr>
          <w:rFonts w:ascii="仿宋_GB2312" w:hAnsi="宋体" w:eastAsia="仿宋_GB2312" w:cs="Courier New"/>
          <w:sz w:val="32"/>
          <w:szCs w:val="32"/>
        </w:rPr>
      </w:pPr>
      <w:r>
        <w:rPr>
          <w:rFonts w:hint="eastAsia" w:ascii="仿宋_GB2312" w:hAnsi="宋体" w:eastAsia="仿宋_GB2312" w:cs="Courier New"/>
          <w:sz w:val="32"/>
          <w:szCs w:val="32"/>
        </w:rPr>
        <w:t>5、2023年AK替代设备购置经费4.9万元，保障单位办公运行。</w:t>
      </w:r>
    </w:p>
    <w:p>
      <w:pPr>
        <w:kinsoku w:val="0"/>
        <w:overflowPunct w:val="0"/>
        <w:autoSpaceDE w:val="0"/>
        <w:autoSpaceDN w:val="0"/>
        <w:adjustRightInd w:val="0"/>
        <w:snapToGrid w:val="0"/>
        <w:spacing w:line="360" w:lineRule="auto"/>
        <w:ind w:firstLine="800" w:firstLineChars="250"/>
        <w:rPr>
          <w:rFonts w:ascii="仿宋_GB2312" w:hAnsi="宋体" w:eastAsia="仿宋_GB2312" w:cs="Courier New"/>
          <w:sz w:val="32"/>
          <w:szCs w:val="32"/>
        </w:rPr>
      </w:pPr>
      <w:r>
        <w:rPr>
          <w:rFonts w:hint="eastAsia" w:ascii="仿宋_GB2312" w:hAnsi="宋体" w:eastAsia="仿宋_GB2312" w:cs="Courier New"/>
          <w:sz w:val="32"/>
          <w:szCs w:val="32"/>
        </w:rPr>
        <w:t>6、龙安体育中心项目2500万元，提高公共服务水平。</w:t>
      </w:r>
    </w:p>
    <w:p>
      <w:pPr>
        <w:kinsoku w:val="0"/>
        <w:overflowPunct w:val="0"/>
        <w:autoSpaceDE w:val="0"/>
        <w:autoSpaceDN w:val="0"/>
        <w:adjustRightInd w:val="0"/>
        <w:snapToGrid w:val="0"/>
        <w:spacing w:line="360" w:lineRule="auto"/>
        <w:ind w:firstLine="800" w:firstLineChars="250"/>
        <w:rPr>
          <w:rFonts w:ascii="仿宋_GB2312" w:hAnsi="宋体" w:eastAsia="仿宋_GB2312" w:cs="Courier New"/>
          <w:sz w:val="32"/>
          <w:szCs w:val="32"/>
        </w:rPr>
      </w:pPr>
      <w:r>
        <w:rPr>
          <w:rFonts w:hint="eastAsia" w:ascii="仿宋_GB2312" w:hAnsi="宋体" w:eastAsia="仿宋_GB2312" w:cs="Courier New"/>
          <w:sz w:val="32"/>
          <w:szCs w:val="32"/>
        </w:rPr>
        <w:t>7、安阳市龙安区智慧停车场建设项目1000万元，提高公共服务水平。</w:t>
      </w:r>
    </w:p>
    <w:p>
      <w:pPr>
        <w:kinsoku w:val="0"/>
        <w:overflowPunct w:val="0"/>
        <w:autoSpaceDE w:val="0"/>
        <w:autoSpaceDN w:val="0"/>
        <w:adjustRightInd w:val="0"/>
        <w:snapToGrid w:val="0"/>
        <w:spacing w:line="360" w:lineRule="auto"/>
        <w:ind w:firstLine="800" w:firstLineChars="250"/>
        <w:rPr>
          <w:rFonts w:ascii="仿宋_GB2312" w:hAnsi="宋体" w:eastAsia="仿宋_GB2312" w:cs="Courier New"/>
          <w:sz w:val="32"/>
          <w:szCs w:val="32"/>
        </w:rPr>
      </w:pPr>
      <w:r>
        <w:rPr>
          <w:rFonts w:hint="eastAsia" w:ascii="仿宋_GB2312" w:hAnsi="宋体" w:eastAsia="仿宋_GB2312" w:cs="Courier New"/>
          <w:sz w:val="32"/>
          <w:szCs w:val="32"/>
        </w:rPr>
        <w:t>8.2024化解拖欠款1232万元，化解债务风险，确保辖区社会祥和稳定。</w:t>
      </w:r>
    </w:p>
    <w:p>
      <w:pPr>
        <w:kinsoku w:val="0"/>
        <w:overflowPunct w:val="0"/>
        <w:autoSpaceDE w:val="0"/>
        <w:autoSpaceDN w:val="0"/>
        <w:adjustRightInd w:val="0"/>
        <w:snapToGrid w:val="0"/>
        <w:spacing w:line="360" w:lineRule="auto"/>
        <w:ind w:firstLine="800" w:firstLineChars="250"/>
        <w:rPr>
          <w:rFonts w:ascii="仿宋_GB2312" w:hAnsi="宋体" w:eastAsia="仿宋_GB2312" w:cs="Courier New"/>
          <w:sz w:val="32"/>
          <w:szCs w:val="32"/>
        </w:rPr>
      </w:pPr>
      <w:r>
        <w:rPr>
          <w:rFonts w:hint="eastAsia" w:ascii="仿宋_GB2312" w:hAnsi="宋体" w:eastAsia="仿宋_GB2312" w:cs="Courier New"/>
          <w:sz w:val="32"/>
          <w:szCs w:val="32"/>
        </w:rPr>
        <w:t>9.环卫市场化运行4000万元，配合蓝天工程清扫清运</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w:t>
      </w:r>
      <w:r>
        <w:rPr>
          <w:rFonts w:hint="eastAsia" w:ascii="仿宋_GB2312" w:hAnsi="宋体" w:eastAsia="仿宋_GB2312" w:cs="Courier New"/>
          <w:sz w:val="32"/>
          <w:szCs w:val="32"/>
        </w:rPr>
        <w:t>23年末，我部门共有车辆</w:t>
      </w:r>
      <w:r>
        <w:rPr>
          <w:rFonts w:hint="eastAsia" w:ascii="仿宋_GB2312" w:eastAsia="仿宋_GB2312"/>
          <w:sz w:val="32"/>
          <w:szCs w:val="32"/>
        </w:rPr>
        <w:t>19</w:t>
      </w:r>
      <w:r>
        <w:rPr>
          <w:rFonts w:hint="eastAsia" w:ascii="仿宋_GB2312" w:hAnsi="宋体" w:eastAsia="仿宋_GB2312" w:cs="Courier New"/>
          <w:sz w:val="32"/>
          <w:szCs w:val="32"/>
        </w:rPr>
        <w:t>辆，其中：一般公务用车</w:t>
      </w:r>
      <w:r>
        <w:rPr>
          <w:rFonts w:hint="eastAsia" w:ascii="仿宋_GB2312" w:eastAsia="仿宋_GB2312"/>
          <w:sz w:val="32"/>
          <w:szCs w:val="32"/>
        </w:rPr>
        <w:t>5</w:t>
      </w:r>
      <w:r>
        <w:rPr>
          <w:rFonts w:hint="eastAsia" w:ascii="仿宋_GB2312" w:hAnsi="宋体" w:eastAsia="仿宋_GB2312" w:cs="Courier New"/>
          <w:sz w:val="32"/>
          <w:szCs w:val="32"/>
        </w:rPr>
        <w:t>辆、一般执法执勤用车</w:t>
      </w:r>
      <w:r>
        <w:rPr>
          <w:rFonts w:hint="eastAsia" w:ascii="仿宋_GB2312" w:eastAsia="仿宋_GB2312"/>
          <w:sz w:val="32"/>
          <w:szCs w:val="32"/>
        </w:rPr>
        <w:t>0</w:t>
      </w:r>
      <w:r>
        <w:rPr>
          <w:rFonts w:hint="eastAsia" w:ascii="仿宋_GB2312" w:hAnsi="宋体" w:eastAsia="仿宋_GB2312" w:cs="Courier New"/>
          <w:sz w:val="32"/>
          <w:szCs w:val="32"/>
        </w:rPr>
        <w:t>辆、特种专业技术用车</w:t>
      </w:r>
      <w:r>
        <w:rPr>
          <w:rFonts w:hint="eastAsia" w:ascii="仿宋_GB2312" w:eastAsia="仿宋_GB2312"/>
          <w:sz w:val="32"/>
          <w:szCs w:val="32"/>
        </w:rPr>
        <w:t>0</w:t>
      </w:r>
      <w:r>
        <w:rPr>
          <w:rFonts w:hint="eastAsia" w:ascii="仿宋_GB2312" w:hAnsi="宋体" w:eastAsia="仿宋_GB2312" w:cs="Courier New"/>
          <w:sz w:val="32"/>
          <w:szCs w:val="32"/>
        </w:rPr>
        <w:t>辆，其他用车</w:t>
      </w:r>
      <w:r>
        <w:rPr>
          <w:rFonts w:hint="eastAsia" w:ascii="仿宋_GB2312" w:eastAsia="仿宋_GB2312"/>
          <w:sz w:val="32"/>
          <w:szCs w:val="32"/>
        </w:rPr>
        <w:t>14</w:t>
      </w:r>
      <w:r>
        <w:rPr>
          <w:rFonts w:hint="eastAsia" w:ascii="仿宋_GB2312" w:hAnsi="宋体" w:eastAsia="仿宋_GB2312" w:cs="Courier New"/>
          <w:sz w:val="32"/>
          <w:szCs w:val="32"/>
        </w:rPr>
        <w:t>辆，其他用车主要是用于城市管理辖区执勤巡逻；单价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hint="eastAsia" w:ascii="仿宋_GB2312" w:eastAsia="仿宋_GB2312"/>
          <w:sz w:val="32"/>
          <w:szCs w:val="32"/>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hint="eastAsia" w:ascii="仿宋_GB2312" w:eastAsia="仿宋_GB2312"/>
          <w:sz w:val="32"/>
          <w:szCs w:val="32"/>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sz w:val="32"/>
          <w:szCs w:val="32"/>
        </w:rPr>
      </w:pPr>
      <w:r>
        <w:rPr>
          <w:rFonts w:hint="eastAsia" w:ascii="仿宋_GB2312" w:hAnsi="宋体" w:eastAsia="仿宋_GB2312" w:cs="Courier New"/>
          <w:b/>
          <w:sz w:val="32"/>
          <w:szCs w:val="32"/>
        </w:rPr>
        <w:t>（五）专项转移支付项目情况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我部门2024年没有专项转移支付项目。</w:t>
      </w: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第三部分 名词解释</w:t>
      </w:r>
    </w:p>
    <w:p>
      <w:pPr>
        <w:adjustRightInd w:val="0"/>
        <w:snapToGrid w:val="0"/>
        <w:spacing w:line="360" w:lineRule="auto"/>
        <w:jc w:val="center"/>
        <w:rPr>
          <w:rFonts w:ascii="黑体" w:hAnsi="黑体" w:eastAsia="黑体"/>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一、财政拨款收入：是指同级财政当年拨付的资金。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三、其他收入：是指部门取得的除“财政拨款”、“事业收入”、“事业单位经营收入”等以外的收入。</w:t>
      </w:r>
      <w:r>
        <w:rPr>
          <w:rFonts w:ascii="仿宋_GB2312" w:hAnsi="宋体" w:eastAsia="仿宋_GB2312" w:cs="Courier New"/>
          <w:sz w:val="32"/>
          <w:szCs w:val="32"/>
        </w:rPr>
        <w:t xml:space="preserve"> </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七、项目支出：是指在基本支出之外，为完成特定的行政工作任务或事业发展目标所发生的支出。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八、“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ascii="黑体" w:hAnsi="黑体" w:eastAsia="黑体"/>
          <w:sz w:val="32"/>
          <w:szCs w:val="32"/>
        </w:rPr>
      </w:pPr>
    </w:p>
    <w:p>
      <w:pPr>
        <w:kinsoku w:val="0"/>
        <w:overflowPunct w:val="0"/>
        <w:autoSpaceDE w:val="0"/>
        <w:autoSpaceDN w:val="0"/>
        <w:adjustRightInd w:val="0"/>
        <w:snapToGrid w:val="0"/>
        <w:spacing w:line="360" w:lineRule="auto"/>
        <w:ind w:firstLine="640" w:firstLineChars="200"/>
        <w:jc w:val="center"/>
        <w:rPr>
          <w:rFonts w:hint="eastAsia" w:ascii="黑体" w:hAnsi="黑体" w:eastAsia="黑体"/>
          <w:sz w:val="32"/>
          <w:szCs w:val="32"/>
        </w:rPr>
      </w:pPr>
    </w:p>
    <w:p>
      <w:pPr>
        <w:kinsoku w:val="0"/>
        <w:overflowPunct w:val="0"/>
        <w:autoSpaceDE w:val="0"/>
        <w:autoSpaceDN w:val="0"/>
        <w:adjustRightInd w:val="0"/>
        <w:snapToGrid w:val="0"/>
        <w:spacing w:line="360" w:lineRule="auto"/>
        <w:ind w:firstLine="640" w:firstLineChars="200"/>
        <w:jc w:val="center"/>
        <w:rPr>
          <w:rFonts w:hint="eastAsia" w:ascii="黑体" w:hAnsi="黑体" w:eastAsia="黑体"/>
          <w:sz w:val="32"/>
          <w:szCs w:val="32"/>
        </w:rPr>
      </w:pPr>
    </w:p>
    <w:p>
      <w:pPr>
        <w:kinsoku w:val="0"/>
        <w:overflowPunct w:val="0"/>
        <w:autoSpaceDE w:val="0"/>
        <w:autoSpaceDN w:val="0"/>
        <w:adjustRightInd w:val="0"/>
        <w:snapToGrid w:val="0"/>
        <w:spacing w:line="360" w:lineRule="auto"/>
        <w:ind w:firstLine="640" w:firstLineChars="200"/>
        <w:jc w:val="center"/>
        <w:rPr>
          <w:rFonts w:hint="eastAsia" w:ascii="黑体" w:hAnsi="黑体" w:eastAsia="黑体"/>
          <w:sz w:val="32"/>
          <w:szCs w:val="32"/>
        </w:rPr>
      </w:pPr>
    </w:p>
    <w:p>
      <w:pPr>
        <w:kinsoku w:val="0"/>
        <w:overflowPunct w:val="0"/>
        <w:autoSpaceDE w:val="0"/>
        <w:autoSpaceDN w:val="0"/>
        <w:adjustRightInd w:val="0"/>
        <w:snapToGrid w:val="0"/>
        <w:spacing w:line="360" w:lineRule="auto"/>
        <w:ind w:firstLine="640" w:firstLineChars="200"/>
        <w:jc w:val="center"/>
        <w:rPr>
          <w:rFonts w:hint="eastAsia" w:ascii="黑体" w:hAnsi="黑体" w:eastAsia="黑体"/>
          <w:sz w:val="32"/>
          <w:szCs w:val="32"/>
        </w:rPr>
      </w:pPr>
    </w:p>
    <w:p>
      <w:pPr>
        <w:kinsoku w:val="0"/>
        <w:overflowPunct w:val="0"/>
        <w:autoSpaceDE w:val="0"/>
        <w:autoSpaceDN w:val="0"/>
        <w:adjustRightInd w:val="0"/>
        <w:snapToGrid w:val="0"/>
        <w:spacing w:line="360" w:lineRule="auto"/>
        <w:ind w:firstLine="640" w:firstLineChars="200"/>
        <w:jc w:val="center"/>
        <w:rPr>
          <w:rFonts w:hint="eastAsia" w:ascii="黑体" w:hAnsi="黑体" w:eastAsia="黑体"/>
          <w:sz w:val="32"/>
          <w:szCs w:val="32"/>
        </w:rPr>
      </w:pPr>
    </w:p>
    <w:p>
      <w:pPr>
        <w:kinsoku w:val="0"/>
        <w:overflowPunct w:val="0"/>
        <w:autoSpaceDE w:val="0"/>
        <w:autoSpaceDN w:val="0"/>
        <w:adjustRightInd w:val="0"/>
        <w:snapToGrid w:val="0"/>
        <w:spacing w:line="360" w:lineRule="auto"/>
        <w:ind w:firstLine="640" w:firstLineChars="200"/>
        <w:jc w:val="center"/>
        <w:rPr>
          <w:rFonts w:hint="eastAsia" w:ascii="黑体" w:hAnsi="黑体" w:eastAsia="黑体"/>
          <w:sz w:val="32"/>
          <w:szCs w:val="32"/>
        </w:rPr>
      </w:pPr>
    </w:p>
    <w:p>
      <w:pPr>
        <w:kinsoku w:val="0"/>
        <w:overflowPunct w:val="0"/>
        <w:autoSpaceDE w:val="0"/>
        <w:autoSpaceDN w:val="0"/>
        <w:adjustRightInd w:val="0"/>
        <w:snapToGrid w:val="0"/>
        <w:spacing w:line="360" w:lineRule="auto"/>
        <w:ind w:firstLine="640" w:firstLineChars="200"/>
        <w:jc w:val="center"/>
        <w:rPr>
          <w:rFonts w:hint="eastAsia" w:ascii="黑体" w:hAnsi="黑体" w:eastAsia="黑体"/>
          <w:sz w:val="32"/>
          <w:szCs w:val="32"/>
        </w:rPr>
      </w:pPr>
    </w:p>
    <w:p>
      <w:pPr>
        <w:kinsoku w:val="0"/>
        <w:overflowPunct w:val="0"/>
        <w:autoSpaceDE w:val="0"/>
        <w:autoSpaceDN w:val="0"/>
        <w:adjustRightInd w:val="0"/>
        <w:snapToGrid w:val="0"/>
        <w:spacing w:line="360" w:lineRule="auto"/>
        <w:ind w:firstLine="640" w:firstLineChars="200"/>
        <w:jc w:val="center"/>
        <w:rPr>
          <w:rFonts w:hint="eastAsia" w:ascii="黑体" w:hAnsi="黑体" w:eastAsia="黑体"/>
          <w:sz w:val="32"/>
          <w:szCs w:val="32"/>
        </w:rPr>
      </w:pPr>
    </w:p>
    <w:p>
      <w:pPr>
        <w:kinsoku w:val="0"/>
        <w:overflowPunct w:val="0"/>
        <w:autoSpaceDE w:val="0"/>
        <w:autoSpaceDN w:val="0"/>
        <w:adjustRightInd w:val="0"/>
        <w:snapToGrid w:val="0"/>
        <w:spacing w:line="360" w:lineRule="auto"/>
        <w:ind w:firstLine="640" w:firstLineChars="200"/>
        <w:jc w:val="center"/>
        <w:rPr>
          <w:rFonts w:hint="eastAsia" w:ascii="黑体" w:hAnsi="黑体" w:eastAsia="黑体"/>
          <w:sz w:val="32"/>
          <w:szCs w:val="32"/>
        </w:rPr>
      </w:pPr>
    </w:p>
    <w:p>
      <w:pPr>
        <w:kinsoku w:val="0"/>
        <w:overflowPunct w:val="0"/>
        <w:autoSpaceDE w:val="0"/>
        <w:autoSpaceDN w:val="0"/>
        <w:adjustRightInd w:val="0"/>
        <w:snapToGrid w:val="0"/>
        <w:spacing w:line="360" w:lineRule="auto"/>
        <w:ind w:firstLine="640" w:firstLineChars="200"/>
        <w:jc w:val="center"/>
        <w:rPr>
          <w:rFonts w:hint="eastAsia" w:ascii="黑体" w:hAnsi="黑体" w:eastAsia="黑体"/>
          <w:sz w:val="32"/>
          <w:szCs w:val="32"/>
        </w:rPr>
      </w:pPr>
    </w:p>
    <w:p>
      <w:pPr>
        <w:kinsoku w:val="0"/>
        <w:overflowPunct w:val="0"/>
        <w:autoSpaceDE w:val="0"/>
        <w:autoSpaceDN w:val="0"/>
        <w:adjustRightInd w:val="0"/>
        <w:snapToGrid w:val="0"/>
        <w:spacing w:line="360" w:lineRule="auto"/>
        <w:ind w:firstLine="640" w:firstLineChars="200"/>
        <w:jc w:val="center"/>
        <w:rPr>
          <w:rFonts w:hint="eastAsia" w:ascii="黑体" w:hAnsi="黑体" w:eastAsia="黑体"/>
          <w:sz w:val="32"/>
          <w:szCs w:val="32"/>
        </w:rPr>
      </w:pPr>
    </w:p>
    <w:p>
      <w:pPr>
        <w:kinsoku w:val="0"/>
        <w:overflowPunct w:val="0"/>
        <w:autoSpaceDE w:val="0"/>
        <w:autoSpaceDN w:val="0"/>
        <w:adjustRightInd w:val="0"/>
        <w:snapToGrid w:val="0"/>
        <w:spacing w:line="360" w:lineRule="auto"/>
        <w:ind w:firstLine="640" w:firstLineChars="200"/>
        <w:jc w:val="center"/>
        <w:rPr>
          <w:rFonts w:hint="eastAsia" w:ascii="黑体" w:hAnsi="黑体" w:eastAsia="黑体"/>
          <w:sz w:val="32"/>
          <w:szCs w:val="32"/>
        </w:rPr>
      </w:pPr>
    </w:p>
    <w:p>
      <w:pPr>
        <w:kinsoku w:val="0"/>
        <w:overflowPunct w:val="0"/>
        <w:autoSpaceDE w:val="0"/>
        <w:autoSpaceDN w:val="0"/>
        <w:adjustRightInd w:val="0"/>
        <w:snapToGrid w:val="0"/>
        <w:spacing w:line="360" w:lineRule="auto"/>
        <w:ind w:firstLine="640" w:firstLineChars="200"/>
        <w:jc w:val="center"/>
        <w:rPr>
          <w:rFonts w:hint="eastAsia" w:ascii="黑体" w:hAnsi="黑体" w:eastAsia="黑体"/>
          <w:sz w:val="32"/>
          <w:szCs w:val="32"/>
        </w:rPr>
      </w:pPr>
    </w:p>
    <w:p>
      <w:pPr>
        <w:kinsoku w:val="0"/>
        <w:overflowPunct w:val="0"/>
        <w:autoSpaceDE w:val="0"/>
        <w:autoSpaceDN w:val="0"/>
        <w:adjustRightInd w:val="0"/>
        <w:snapToGrid w:val="0"/>
        <w:spacing w:line="360" w:lineRule="auto"/>
        <w:ind w:firstLine="640" w:firstLineChars="200"/>
        <w:jc w:val="center"/>
        <w:rPr>
          <w:rFonts w:hint="eastAsia" w:ascii="黑体" w:hAnsi="黑体" w:eastAsia="黑体"/>
          <w:sz w:val="32"/>
          <w:szCs w:val="32"/>
        </w:rPr>
      </w:pPr>
    </w:p>
    <w:p>
      <w:pPr>
        <w:kinsoku w:val="0"/>
        <w:overflowPunct w:val="0"/>
        <w:autoSpaceDE w:val="0"/>
        <w:autoSpaceDN w:val="0"/>
        <w:adjustRightInd w:val="0"/>
        <w:snapToGrid w:val="0"/>
        <w:spacing w:line="360" w:lineRule="auto"/>
        <w:ind w:firstLine="640" w:firstLineChars="200"/>
        <w:jc w:val="center"/>
        <w:rPr>
          <w:rFonts w:hint="eastAsia" w:ascii="黑体" w:hAnsi="黑体" w:eastAsia="黑体"/>
          <w:sz w:val="32"/>
          <w:szCs w:val="32"/>
        </w:rPr>
      </w:pPr>
    </w:p>
    <w:p>
      <w:pPr>
        <w:kinsoku w:val="0"/>
        <w:overflowPunct w:val="0"/>
        <w:autoSpaceDE w:val="0"/>
        <w:autoSpaceDN w:val="0"/>
        <w:adjustRightInd w:val="0"/>
        <w:snapToGrid w:val="0"/>
        <w:spacing w:line="360" w:lineRule="auto"/>
        <w:ind w:firstLine="640" w:firstLineChars="200"/>
        <w:jc w:val="center"/>
        <w:rPr>
          <w:rFonts w:hint="eastAsia" w:ascii="黑体" w:hAnsi="黑体" w:eastAsia="黑体"/>
          <w:sz w:val="32"/>
          <w:szCs w:val="32"/>
        </w:rPr>
      </w:pPr>
    </w:p>
    <w:p>
      <w:pPr>
        <w:kinsoku w:val="0"/>
        <w:overflowPunct w:val="0"/>
        <w:autoSpaceDE w:val="0"/>
        <w:autoSpaceDN w:val="0"/>
        <w:adjustRightInd w:val="0"/>
        <w:snapToGrid w:val="0"/>
        <w:spacing w:line="360" w:lineRule="auto"/>
        <w:ind w:firstLine="640" w:firstLineChars="200"/>
        <w:jc w:val="center"/>
        <w:rPr>
          <w:rFonts w:hint="eastAsia" w:ascii="黑体" w:hAnsi="黑体" w:eastAsia="黑体"/>
          <w:sz w:val="32"/>
          <w:szCs w:val="32"/>
        </w:rPr>
      </w:pPr>
    </w:p>
    <w:p>
      <w:pPr>
        <w:kinsoku w:val="0"/>
        <w:overflowPunct w:val="0"/>
        <w:autoSpaceDE w:val="0"/>
        <w:autoSpaceDN w:val="0"/>
        <w:adjustRightInd w:val="0"/>
        <w:snapToGrid w:val="0"/>
        <w:spacing w:line="360" w:lineRule="auto"/>
        <w:ind w:firstLine="640" w:firstLineChars="200"/>
        <w:jc w:val="center"/>
        <w:rPr>
          <w:rFonts w:hint="eastAsia" w:ascii="黑体" w:hAnsi="黑体" w:eastAsia="黑体"/>
          <w:sz w:val="32"/>
          <w:szCs w:val="32"/>
        </w:rPr>
      </w:pPr>
    </w:p>
    <w:p>
      <w:pPr>
        <w:kinsoku w:val="0"/>
        <w:overflowPunct w:val="0"/>
        <w:autoSpaceDE w:val="0"/>
        <w:autoSpaceDN w:val="0"/>
        <w:adjustRightInd w:val="0"/>
        <w:snapToGrid w:val="0"/>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附件2024年度部门预算表</w:t>
      </w:r>
    </w:p>
    <w:p>
      <w:pPr>
        <w:kinsoku w:val="0"/>
        <w:overflowPunct w:val="0"/>
        <w:autoSpaceDE w:val="0"/>
        <w:autoSpaceDN w:val="0"/>
        <w:adjustRightInd w:val="0"/>
        <w:snapToGrid w:val="0"/>
        <w:spacing w:line="360" w:lineRule="auto"/>
        <w:ind w:firstLine="640" w:firstLineChars="200"/>
        <w:jc w:val="center"/>
        <w:rPr>
          <w:rFonts w:ascii="仿宋_GB2312" w:hAnsi="仿宋_GB2312" w:eastAsia="仿宋_GB2312" w:cs="仿宋_GB2312"/>
          <w:sz w:val="32"/>
          <w:szCs w:val="32"/>
        </w:rPr>
      </w:pPr>
    </w:p>
    <w:p>
      <w:pPr>
        <w:kinsoku w:val="0"/>
        <w:overflowPunct w:val="0"/>
        <w:autoSpaceDE w:val="0"/>
        <w:autoSpaceDN w:val="0"/>
        <w:adjustRightInd w:val="0"/>
        <w:snapToGrid w:val="0"/>
        <w:spacing w:line="360" w:lineRule="auto"/>
        <w:ind w:firstLine="640" w:firstLineChars="200"/>
        <w:jc w:val="center"/>
        <w:rPr>
          <w:rFonts w:ascii="仿宋_GB2312" w:hAnsi="仿宋_GB2312" w:eastAsia="仿宋_GB2312" w:cs="仿宋_GB2312"/>
          <w:sz w:val="32"/>
          <w:szCs w:val="32"/>
        </w:rPr>
      </w:pPr>
    </w:p>
    <w:p>
      <w:pPr>
        <w:kinsoku w:val="0"/>
        <w:overflowPunct w:val="0"/>
        <w:autoSpaceDE w:val="0"/>
        <w:autoSpaceDN w:val="0"/>
        <w:adjustRightInd w:val="0"/>
        <w:snapToGrid w:val="0"/>
        <w:spacing w:line="360" w:lineRule="auto"/>
        <w:rPr>
          <w:rFonts w:ascii="仿宋_GB2312" w:hAnsi="仿宋_GB2312" w:eastAsia="仿宋_GB2312" w:cs="仿宋_GB2312"/>
          <w:sz w:val="32"/>
          <w:szCs w:val="32"/>
        </w:rPr>
      </w:pPr>
    </w:p>
    <w:p>
      <w:pPr>
        <w:kinsoku w:val="0"/>
        <w:overflowPunct w:val="0"/>
        <w:autoSpaceDE w:val="0"/>
        <w:autoSpaceDN w:val="0"/>
        <w:adjustRightInd w:val="0"/>
        <w:snapToGrid w:val="0"/>
        <w:spacing w:line="360" w:lineRule="auto"/>
        <w:rPr>
          <w:rFonts w:ascii="仿宋_GB2312" w:hAnsi="仿宋_GB2312" w:eastAsia="仿宋_GB2312" w:cs="仿宋_GB2312"/>
          <w:sz w:val="32"/>
          <w:szCs w:val="32"/>
        </w:rPr>
      </w:pPr>
    </w:p>
    <w:p>
      <w:pPr>
        <w:kinsoku w:val="0"/>
        <w:overflowPunct w:val="0"/>
        <w:autoSpaceDE w:val="0"/>
        <w:autoSpaceDN w:val="0"/>
        <w:adjustRightInd w:val="0"/>
        <w:snapToGrid w:val="0"/>
        <w:spacing w:line="360" w:lineRule="auto"/>
        <w:rPr>
          <w:rFonts w:ascii="仿宋_GB2312" w:hAnsi="仿宋_GB2312" w:eastAsia="仿宋_GB2312" w:cs="仿宋_GB2312"/>
          <w:sz w:val="32"/>
          <w:szCs w:val="32"/>
        </w:rPr>
      </w:pPr>
    </w:p>
    <w:p>
      <w:pPr>
        <w:kinsoku w:val="0"/>
        <w:overflowPunct w:val="0"/>
        <w:autoSpaceDE w:val="0"/>
        <w:autoSpaceDN w:val="0"/>
        <w:adjustRightInd w:val="0"/>
        <w:snapToGrid w:val="0"/>
        <w:spacing w:line="360" w:lineRule="auto"/>
        <w:rPr>
          <w:rFonts w:ascii="仿宋_GB2312" w:hAnsi="仿宋_GB2312" w:eastAsia="仿宋_GB2312" w:cs="仿宋_GB2312"/>
          <w:sz w:val="32"/>
          <w:szCs w:val="32"/>
        </w:rPr>
      </w:pPr>
    </w:p>
    <w:p>
      <w:pPr>
        <w:kinsoku w:val="0"/>
        <w:overflowPunct w:val="0"/>
        <w:autoSpaceDE w:val="0"/>
        <w:autoSpaceDN w:val="0"/>
        <w:adjustRightInd w:val="0"/>
        <w:snapToGrid w:val="0"/>
        <w:spacing w:line="360" w:lineRule="auto"/>
        <w:rPr>
          <w:rFonts w:ascii="仿宋_GB2312" w:hAnsi="仿宋_GB2312" w:eastAsia="仿宋_GB2312" w:cs="仿宋_GB2312"/>
          <w:sz w:val="32"/>
          <w:szCs w:val="32"/>
        </w:rPr>
      </w:pPr>
    </w:p>
    <w:p>
      <w:pPr>
        <w:kinsoku w:val="0"/>
        <w:overflowPunct w:val="0"/>
        <w:autoSpaceDE w:val="0"/>
        <w:autoSpaceDN w:val="0"/>
        <w:adjustRightInd w:val="0"/>
        <w:snapToGrid w:val="0"/>
        <w:spacing w:line="360" w:lineRule="auto"/>
        <w:rPr>
          <w:rFonts w:ascii="仿宋_GB2312" w:hAnsi="仿宋_GB2312" w:eastAsia="仿宋_GB2312" w:cs="仿宋_GB2312"/>
          <w:sz w:val="32"/>
          <w:szCs w:val="32"/>
        </w:rPr>
      </w:pPr>
    </w:p>
    <w:tbl>
      <w:tblPr>
        <w:tblStyle w:val="6"/>
        <w:tblW w:w="9225" w:type="dxa"/>
        <w:tblInd w:w="93" w:type="dxa"/>
        <w:tblLayout w:type="autofit"/>
        <w:tblCellMar>
          <w:top w:w="0" w:type="dxa"/>
          <w:left w:w="108" w:type="dxa"/>
          <w:bottom w:w="0" w:type="dxa"/>
          <w:right w:w="108" w:type="dxa"/>
        </w:tblCellMar>
      </w:tblPr>
      <w:tblGrid>
        <w:gridCol w:w="3076"/>
        <w:gridCol w:w="1537"/>
        <w:gridCol w:w="3075"/>
        <w:gridCol w:w="1537"/>
      </w:tblGrid>
      <w:tr>
        <w:tblPrEx>
          <w:tblCellMar>
            <w:top w:w="0" w:type="dxa"/>
            <w:left w:w="108" w:type="dxa"/>
            <w:bottom w:w="0" w:type="dxa"/>
            <w:right w:w="108" w:type="dxa"/>
          </w:tblCellMar>
        </w:tblPrEx>
        <w:trPr>
          <w:trHeight w:val="285" w:hRule="atLeast"/>
        </w:trPr>
        <w:tc>
          <w:tcPr>
            <w:tcW w:w="9225" w:type="dxa"/>
            <w:gridSpan w:val="4"/>
            <w:tcBorders>
              <w:top w:val="nil"/>
              <w:left w:val="nil"/>
              <w:bottom w:val="nil"/>
              <w:right w:val="nil"/>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预算01表  </w:t>
            </w:r>
          </w:p>
        </w:tc>
      </w:tr>
      <w:tr>
        <w:tblPrEx>
          <w:tblCellMar>
            <w:top w:w="0" w:type="dxa"/>
            <w:left w:w="108" w:type="dxa"/>
            <w:bottom w:w="0" w:type="dxa"/>
            <w:right w:w="108" w:type="dxa"/>
          </w:tblCellMar>
        </w:tblPrEx>
        <w:trPr>
          <w:trHeight w:val="569" w:hRule="atLeast"/>
        </w:trPr>
        <w:tc>
          <w:tcPr>
            <w:tcW w:w="9225" w:type="dxa"/>
            <w:gridSpan w:val="4"/>
            <w:tcBorders>
              <w:top w:val="nil"/>
              <w:left w:val="nil"/>
              <w:bottom w:val="nil"/>
              <w:right w:val="nil"/>
            </w:tcBorders>
            <w:shd w:val="clear" w:color="auto" w:fill="auto"/>
            <w:vAlign w:val="center"/>
          </w:tcPr>
          <w:p>
            <w:pPr>
              <w:widowControl/>
              <w:jc w:val="center"/>
              <w:rPr>
                <w:rFonts w:ascii="宋体" w:hAnsi="宋体" w:cs="宋体"/>
                <w:b/>
                <w:bCs/>
                <w:color w:val="000000"/>
                <w:kern w:val="0"/>
                <w:sz w:val="38"/>
                <w:szCs w:val="38"/>
              </w:rPr>
            </w:pPr>
            <w:r>
              <w:rPr>
                <w:rFonts w:hint="eastAsia" w:ascii="宋体" w:hAnsi="宋体" w:cs="宋体"/>
                <w:b/>
                <w:bCs/>
                <w:color w:val="000000"/>
                <w:kern w:val="0"/>
                <w:sz w:val="38"/>
                <w:szCs w:val="38"/>
              </w:rPr>
              <w:t>2024年部门收支预算表</w:t>
            </w:r>
          </w:p>
        </w:tc>
      </w:tr>
      <w:tr>
        <w:tblPrEx>
          <w:tblCellMar>
            <w:top w:w="0" w:type="dxa"/>
            <w:left w:w="108" w:type="dxa"/>
            <w:bottom w:w="0" w:type="dxa"/>
            <w:right w:w="108" w:type="dxa"/>
          </w:tblCellMar>
        </w:tblPrEx>
        <w:trPr>
          <w:trHeight w:val="285" w:hRule="atLeast"/>
        </w:trPr>
        <w:tc>
          <w:tcPr>
            <w:tcW w:w="3076"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单位名称：</w:t>
            </w:r>
          </w:p>
        </w:tc>
        <w:tc>
          <w:tcPr>
            <w:tcW w:w="61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安阳市龙安区城市管理行政执法局</w:t>
            </w:r>
          </w:p>
        </w:tc>
      </w:tr>
      <w:tr>
        <w:tblPrEx>
          <w:tblCellMar>
            <w:top w:w="0" w:type="dxa"/>
            <w:left w:w="108" w:type="dxa"/>
            <w:bottom w:w="0" w:type="dxa"/>
            <w:right w:w="108" w:type="dxa"/>
          </w:tblCellMar>
        </w:tblPrEx>
        <w:trPr>
          <w:trHeight w:val="285"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收入</w:t>
            </w:r>
          </w:p>
        </w:tc>
        <w:tc>
          <w:tcPr>
            <w:tcW w:w="4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支出</w:t>
            </w:r>
          </w:p>
        </w:tc>
      </w:tr>
      <w:tr>
        <w:tblPrEx>
          <w:tblCellMar>
            <w:top w:w="0" w:type="dxa"/>
            <w:left w:w="108" w:type="dxa"/>
            <w:bottom w:w="0" w:type="dxa"/>
            <w:right w:w="108" w:type="dxa"/>
          </w:tblCellMar>
        </w:tblPrEx>
        <w:trPr>
          <w:trHeight w:val="285"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项目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金额  </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项目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金额</w:t>
            </w:r>
          </w:p>
        </w:tc>
      </w:tr>
      <w:tr>
        <w:tblPrEx>
          <w:tblCellMar>
            <w:top w:w="0" w:type="dxa"/>
            <w:left w:w="108" w:type="dxa"/>
            <w:bottom w:w="0" w:type="dxa"/>
            <w:right w:w="108" w:type="dxa"/>
          </w:tblCellMar>
        </w:tblPrEx>
        <w:trPr>
          <w:trHeight w:val="285"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一、一般公共预算</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7,623.1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一、一般公共服务</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4.89</w:t>
            </w:r>
          </w:p>
        </w:tc>
      </w:tr>
      <w:tr>
        <w:tblPrEx>
          <w:tblCellMar>
            <w:top w:w="0" w:type="dxa"/>
            <w:left w:w="108" w:type="dxa"/>
            <w:bottom w:w="0" w:type="dxa"/>
            <w:right w:w="108" w:type="dxa"/>
          </w:tblCellMar>
        </w:tblPrEx>
        <w:trPr>
          <w:trHeight w:val="285"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其中：财政拨款</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7,623.1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二、外交</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二、政府性基金预算拨款收入</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3,500.0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三、国防</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三、国有资本经营预算拨款收入</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四、公共安全</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四、财政专户管理资金收入</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五、教育</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五、事业收入</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六、科学技术</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六、事业单位经营收入</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七、文化旅游体育与传媒</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七、上级补助收入</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八、社会保障和就业</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90.10</w:t>
            </w:r>
          </w:p>
        </w:tc>
      </w:tr>
      <w:tr>
        <w:tblPrEx>
          <w:tblCellMar>
            <w:top w:w="0" w:type="dxa"/>
            <w:left w:w="108" w:type="dxa"/>
            <w:bottom w:w="0" w:type="dxa"/>
            <w:right w:w="108" w:type="dxa"/>
          </w:tblCellMar>
        </w:tblPrEx>
        <w:trPr>
          <w:trHeight w:val="285"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八、附属单位上缴收入</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九、社会保险基金支出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九、其他收入</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十、卫生健康</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41.11</w:t>
            </w:r>
          </w:p>
        </w:tc>
      </w:tr>
      <w:tr>
        <w:tblPrEx>
          <w:tblCellMar>
            <w:top w:w="0" w:type="dxa"/>
            <w:left w:w="108" w:type="dxa"/>
            <w:bottom w:w="0" w:type="dxa"/>
            <w:right w:w="108" w:type="dxa"/>
          </w:tblCellMar>
        </w:tblPrEx>
        <w:trPr>
          <w:trHeight w:val="285"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十一、节能环保</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十二、城乡社区事务</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7,384.23</w:t>
            </w:r>
          </w:p>
        </w:tc>
      </w:tr>
      <w:tr>
        <w:tblPrEx>
          <w:tblCellMar>
            <w:top w:w="0" w:type="dxa"/>
            <w:left w:w="108" w:type="dxa"/>
            <w:bottom w:w="0" w:type="dxa"/>
            <w:right w:w="108" w:type="dxa"/>
          </w:tblCellMar>
        </w:tblPrEx>
        <w:trPr>
          <w:trHeight w:val="285"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十三、农林水事务</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十四、交通运输</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十五、资源勘探信息等</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十六、商业服务业等</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十七、金融支出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十九、援助其他地区支出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二十、自然资源海洋气象等支出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二十一、住房保障支出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102.75</w:t>
            </w:r>
          </w:p>
        </w:tc>
      </w:tr>
      <w:tr>
        <w:tblPrEx>
          <w:tblCellMar>
            <w:top w:w="0" w:type="dxa"/>
            <w:left w:w="108" w:type="dxa"/>
            <w:bottom w:w="0" w:type="dxa"/>
            <w:right w:w="108" w:type="dxa"/>
          </w:tblCellMar>
        </w:tblPrEx>
        <w:trPr>
          <w:trHeight w:val="285"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二十二、粮油物资储备支出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6"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二十三、国有资本经营预算</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6"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二十四、灾害防治及应急管理</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6"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二十七、预备费</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6"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二十九、其他支出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3,500.00</w:t>
            </w:r>
          </w:p>
        </w:tc>
      </w:tr>
      <w:tr>
        <w:tblPrEx>
          <w:tblCellMar>
            <w:top w:w="0" w:type="dxa"/>
            <w:left w:w="108" w:type="dxa"/>
            <w:bottom w:w="0" w:type="dxa"/>
            <w:right w:w="108" w:type="dxa"/>
          </w:tblCellMar>
        </w:tblPrEx>
        <w:trPr>
          <w:trHeight w:val="286"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三十、转移性支出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6"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三十一、债务还本支出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6"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三十二、债务付息支出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6"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三十三、债务发行费用支出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6"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三十四、抗疫特别国债安排的支出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6"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 年 收 入 合 计</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11,123.08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 年 支 出 合 计</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11,123.08</w:t>
            </w:r>
          </w:p>
        </w:tc>
      </w:tr>
      <w:tr>
        <w:tblPrEx>
          <w:tblCellMar>
            <w:top w:w="0" w:type="dxa"/>
            <w:left w:w="108" w:type="dxa"/>
            <w:bottom w:w="0" w:type="dxa"/>
            <w:right w:w="108" w:type="dxa"/>
          </w:tblCellMar>
        </w:tblPrEx>
        <w:trPr>
          <w:trHeight w:val="286"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上年结转结余</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年终结转结余</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6"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 入 总 计</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11,123.08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 出 总 计</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11,123.08</w:t>
            </w:r>
          </w:p>
        </w:tc>
      </w:tr>
    </w:tbl>
    <w:p>
      <w:pPr>
        <w:kinsoku w:val="0"/>
        <w:overflowPunct w:val="0"/>
        <w:autoSpaceDE w:val="0"/>
        <w:autoSpaceDN w:val="0"/>
        <w:adjustRightInd w:val="0"/>
        <w:snapToGrid w:val="0"/>
        <w:spacing w:line="360" w:lineRule="auto"/>
        <w:rPr>
          <w:rFonts w:ascii="仿宋_GB2312" w:hAnsi="仿宋_GB2312" w:eastAsia="仿宋_GB2312" w:cs="仿宋_GB2312"/>
          <w:sz w:val="32"/>
          <w:szCs w:val="32"/>
        </w:rPr>
      </w:pPr>
    </w:p>
    <w:p>
      <w:pPr>
        <w:kinsoku w:val="0"/>
        <w:overflowPunct w:val="0"/>
        <w:autoSpaceDE w:val="0"/>
        <w:autoSpaceDN w:val="0"/>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sectPr>
          <w:headerReference r:id="rId3" w:type="default"/>
          <w:pgSz w:w="11906" w:h="16838"/>
          <w:pgMar w:top="1440" w:right="1080" w:bottom="1440" w:left="1080" w:header="851" w:footer="992" w:gutter="0"/>
          <w:cols w:space="425" w:num="1"/>
          <w:docGrid w:type="lines" w:linePitch="312" w:charSpace="0"/>
        </w:sectPr>
      </w:pPr>
    </w:p>
    <w:p>
      <w:pPr>
        <w:adjustRightInd w:val="0"/>
        <w:snapToGrid w:val="0"/>
        <w:spacing w:line="360" w:lineRule="auto"/>
        <w:rPr>
          <w:rFonts w:ascii="仿宋_GB2312" w:hAnsi="仿宋_GB2312" w:eastAsia="仿宋_GB2312" w:cs="仿宋_GB2312"/>
          <w:sz w:val="32"/>
          <w:szCs w:val="32"/>
        </w:rPr>
      </w:pPr>
      <w:r>
        <w:pict>
          <v:shape id="_x0000_i1025" o:spt="75" type="#_x0000_t75" style="height:83.25pt;width:749.25pt;" filled="f" o:preferrelative="t" stroked="f" coordsize="21600,21600">
            <v:path/>
            <v:fill on="f" focussize="0,0"/>
            <v:stroke on="f" joinstyle="miter"/>
            <v:imagedata r:id="rId5" o:title=""/>
            <o:lock v:ext="edit" aspectratio="t"/>
            <w10:wrap type="none"/>
            <w10:anchorlock/>
          </v:shape>
        </w:pict>
      </w: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r>
        <w:pict>
          <v:shape id="_x0000_i1026" o:spt="75" alt="" type="#_x0000_t75" style="height:258.7pt;width:723pt;" filled="f" o:preferrelative="t" stroked="f" coordsize="21600,21600">
            <v:path/>
            <v:fill on="f" focussize="0,0"/>
            <v:stroke on="f"/>
            <v:imagedata r:id="rId6" o:title=""/>
            <o:lock v:ext="edit" aspectratio="t"/>
            <w10:wrap type="none"/>
            <w10:anchorlock/>
          </v:shape>
        </w:pict>
      </w: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bookmarkStart w:id="1" w:name="_GoBack"/>
      <w:bookmarkEnd w:id="1"/>
    </w:p>
    <w:p>
      <w:pPr>
        <w:adjustRightInd w:val="0"/>
        <w:snapToGrid w:val="0"/>
        <w:spacing w:line="360" w:lineRule="auto"/>
        <w:rPr>
          <w:rFonts w:ascii="仿宋_GB2312" w:hAnsi="仿宋_GB2312" w:eastAsia="仿宋_GB2312" w:cs="仿宋_GB2312"/>
          <w:sz w:val="32"/>
          <w:szCs w:val="32"/>
        </w:rPr>
      </w:pPr>
      <w:r>
        <w:pict>
          <v:shape id="_x0000_i1027" o:spt="75" type="#_x0000_t75" style="height:487.5pt;width:444.75pt;" filled="f" o:preferrelative="t" stroked="f" coordsize="21600,21600">
            <v:path/>
            <v:fill on="f" focussize="0,0"/>
            <v:stroke on="f" joinstyle="miter"/>
            <v:imagedata r:id="rId7" o:title=""/>
            <o:lock v:ext="edit" aspectratio="t"/>
            <w10:wrap type="none"/>
            <w10:anchorlock/>
          </v:shape>
        </w:pict>
      </w:r>
    </w:p>
    <w:tbl>
      <w:tblPr>
        <w:tblStyle w:val="6"/>
        <w:tblW w:w="13485" w:type="dxa"/>
        <w:tblInd w:w="93" w:type="dxa"/>
        <w:tblLayout w:type="autofit"/>
        <w:tblCellMar>
          <w:top w:w="0" w:type="dxa"/>
          <w:left w:w="108" w:type="dxa"/>
          <w:bottom w:w="0" w:type="dxa"/>
          <w:right w:w="108" w:type="dxa"/>
        </w:tblCellMar>
      </w:tblPr>
      <w:tblGrid>
        <w:gridCol w:w="490"/>
        <w:gridCol w:w="486"/>
        <w:gridCol w:w="486"/>
        <w:gridCol w:w="756"/>
        <w:gridCol w:w="2347"/>
        <w:gridCol w:w="1154"/>
        <w:gridCol w:w="1154"/>
        <w:gridCol w:w="1154"/>
        <w:gridCol w:w="710"/>
        <w:gridCol w:w="1147"/>
        <w:gridCol w:w="858"/>
        <w:gridCol w:w="869"/>
        <w:gridCol w:w="914"/>
        <w:gridCol w:w="960"/>
      </w:tblGrid>
      <w:tr>
        <w:tblPrEx>
          <w:tblCellMar>
            <w:top w:w="0" w:type="dxa"/>
            <w:left w:w="108" w:type="dxa"/>
            <w:bottom w:w="0" w:type="dxa"/>
            <w:right w:w="108" w:type="dxa"/>
          </w:tblCellMar>
        </w:tblPrEx>
        <w:trPr>
          <w:trHeight w:val="286" w:hRule="atLeast"/>
        </w:trPr>
        <w:tc>
          <w:tcPr>
            <w:tcW w:w="13485" w:type="dxa"/>
            <w:gridSpan w:val="14"/>
            <w:tcBorders>
              <w:top w:val="nil"/>
              <w:left w:val="nil"/>
              <w:bottom w:val="nil"/>
              <w:right w:val="nil"/>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预算05表</w:t>
            </w:r>
          </w:p>
        </w:tc>
      </w:tr>
      <w:tr>
        <w:tblPrEx>
          <w:tblCellMar>
            <w:top w:w="0" w:type="dxa"/>
            <w:left w:w="108" w:type="dxa"/>
            <w:bottom w:w="0" w:type="dxa"/>
            <w:right w:w="108" w:type="dxa"/>
          </w:tblCellMar>
        </w:tblPrEx>
        <w:trPr>
          <w:trHeight w:val="569" w:hRule="atLeast"/>
        </w:trPr>
        <w:tc>
          <w:tcPr>
            <w:tcW w:w="13485" w:type="dxa"/>
            <w:gridSpan w:val="14"/>
            <w:tcBorders>
              <w:top w:val="nil"/>
              <w:left w:val="nil"/>
              <w:bottom w:val="nil"/>
              <w:right w:val="nil"/>
            </w:tcBorders>
            <w:shd w:val="clear" w:color="auto" w:fill="auto"/>
            <w:vAlign w:val="center"/>
          </w:tcPr>
          <w:p>
            <w:pPr>
              <w:widowControl/>
              <w:jc w:val="center"/>
              <w:rPr>
                <w:rFonts w:ascii="宋体" w:hAnsi="宋体" w:cs="宋体"/>
                <w:b/>
                <w:bCs/>
                <w:color w:val="000000"/>
                <w:kern w:val="0"/>
                <w:sz w:val="38"/>
                <w:szCs w:val="38"/>
              </w:rPr>
            </w:pPr>
            <w:r>
              <w:rPr>
                <w:rFonts w:hint="eastAsia" w:ascii="宋体" w:hAnsi="宋体" w:cs="宋体"/>
                <w:b/>
                <w:bCs/>
                <w:color w:val="000000"/>
                <w:kern w:val="0"/>
                <w:sz w:val="38"/>
                <w:szCs w:val="38"/>
              </w:rPr>
              <w:t>2024年一般公共预算支出预算表</w:t>
            </w:r>
          </w:p>
        </w:tc>
      </w:tr>
      <w:tr>
        <w:tblPrEx>
          <w:tblCellMar>
            <w:top w:w="0" w:type="dxa"/>
            <w:left w:w="108" w:type="dxa"/>
            <w:bottom w:w="0" w:type="dxa"/>
            <w:right w:w="108" w:type="dxa"/>
          </w:tblCellMar>
        </w:tblPrEx>
        <w:trPr>
          <w:trHeight w:val="285" w:hRule="atLeast"/>
        </w:trPr>
        <w:tc>
          <w:tcPr>
            <w:tcW w:w="1470" w:type="dxa"/>
            <w:gridSpan w:val="3"/>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单位名称：</w:t>
            </w:r>
          </w:p>
        </w:tc>
        <w:tc>
          <w:tcPr>
            <w:tcW w:w="11056" w:type="dxa"/>
            <w:gridSpan w:val="10"/>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安阳市龙安区城市管理行政执法局</w:t>
            </w:r>
          </w:p>
        </w:tc>
        <w:tc>
          <w:tcPr>
            <w:tcW w:w="959"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286" w:hRule="atLeast"/>
        </w:trPr>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科目编码</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单位代码</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单位（科目名称）</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基本支出  </w:t>
            </w: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项目支出</w:t>
            </w:r>
          </w:p>
        </w:tc>
      </w:tr>
      <w:tr>
        <w:tblPrEx>
          <w:tblCellMar>
            <w:top w:w="0" w:type="dxa"/>
            <w:left w:w="108" w:type="dxa"/>
            <w:bottom w:w="0" w:type="dxa"/>
            <w:right w:w="108" w:type="dxa"/>
          </w:tblCellMar>
        </w:tblPrEx>
        <w:trPr>
          <w:trHeight w:val="286" w:hRule="atLeast"/>
        </w:trPr>
        <w:tc>
          <w:tcPr>
            <w:tcW w:w="147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4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w:t>
            </w:r>
          </w:p>
        </w:tc>
        <w:tc>
          <w:tcPr>
            <w:tcW w:w="2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其他运转类</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特定目标类</w:t>
            </w:r>
          </w:p>
        </w:tc>
      </w:tr>
      <w:tr>
        <w:tblPrEx>
          <w:tblCellMar>
            <w:top w:w="0" w:type="dxa"/>
            <w:left w:w="108" w:type="dxa"/>
            <w:bottom w:w="0" w:type="dxa"/>
            <w:right w:w="108" w:type="dxa"/>
          </w:tblCellMar>
        </w:tblPrEx>
        <w:trPr>
          <w:trHeight w:val="678"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类</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款</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4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资本性支出</w:t>
            </w:r>
          </w:p>
        </w:tc>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7,623.08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1,405.09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1,095.12</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306.42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6,217.99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4,985.99</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1,232.00</w:t>
            </w:r>
          </w:p>
        </w:tc>
      </w:tr>
      <w:tr>
        <w:tblPrEx>
          <w:tblCellMar>
            <w:top w:w="0" w:type="dxa"/>
            <w:left w:w="108" w:type="dxa"/>
            <w:bottom w:w="0" w:type="dxa"/>
            <w:right w:w="108" w:type="dxa"/>
          </w:tblCellMar>
        </w:tblPrEx>
        <w:trPr>
          <w:trHeight w:val="452"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019001</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安阳市龙安区城市管理行政执法局</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7,623.08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1,405.09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1,095.12</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306.42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6,217.99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4,985.99</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1,232.00</w:t>
            </w:r>
          </w:p>
        </w:tc>
      </w:tr>
      <w:tr>
        <w:tblPrEx>
          <w:tblCellMar>
            <w:top w:w="0" w:type="dxa"/>
            <w:left w:w="108" w:type="dxa"/>
            <w:bottom w:w="0" w:type="dxa"/>
            <w:right w:w="108" w:type="dxa"/>
          </w:tblCellMar>
        </w:tblPrEx>
        <w:trPr>
          <w:trHeight w:val="285"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99</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99</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其他一般公共服务支出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4.89</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452"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05</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90.10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90.10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90.10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行政单位医疗</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41.11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41.11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41.11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城管执法</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6,213.10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6,213.10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4,981.10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1,232.00</w:t>
            </w:r>
          </w:p>
        </w:tc>
      </w:tr>
      <w:tr>
        <w:tblPrEx>
          <w:tblCellMar>
            <w:top w:w="0" w:type="dxa"/>
            <w:left w:w="108" w:type="dxa"/>
            <w:bottom w:w="0" w:type="dxa"/>
            <w:right w:w="108" w:type="dxa"/>
          </w:tblCellMar>
        </w:tblPrEx>
        <w:trPr>
          <w:trHeight w:val="285"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99</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其他城乡社区管理事务支出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1,171.13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1,171.13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861.16</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306.42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02</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102.75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102.75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102.75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6" w:hRule="atLeast"/>
        </w:trPr>
        <w:tc>
          <w:tcPr>
            <w:tcW w:w="10743" w:type="dxa"/>
            <w:gridSpan w:val="11"/>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备注：本表仅含当年财政拨款安排的支出</w:t>
            </w:r>
          </w:p>
        </w:tc>
        <w:tc>
          <w:tcPr>
            <w:tcW w:w="86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91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95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6"/>
        <w:tblW w:w="13383" w:type="dxa"/>
        <w:tblInd w:w="93" w:type="dxa"/>
        <w:tblLayout w:type="autofit"/>
        <w:tblCellMar>
          <w:top w:w="0" w:type="dxa"/>
          <w:left w:w="108" w:type="dxa"/>
          <w:bottom w:w="0" w:type="dxa"/>
          <w:right w:w="108" w:type="dxa"/>
        </w:tblCellMar>
      </w:tblPr>
      <w:tblGrid>
        <w:gridCol w:w="1498"/>
        <w:gridCol w:w="3150"/>
        <w:gridCol w:w="1939"/>
        <w:gridCol w:w="2553"/>
        <w:gridCol w:w="1306"/>
        <w:gridCol w:w="1670"/>
        <w:gridCol w:w="1267"/>
      </w:tblGrid>
      <w:tr>
        <w:tblPrEx>
          <w:tblCellMar>
            <w:top w:w="0" w:type="dxa"/>
            <w:left w:w="108" w:type="dxa"/>
            <w:bottom w:w="0" w:type="dxa"/>
            <w:right w:w="108" w:type="dxa"/>
          </w:tblCellMar>
        </w:tblPrEx>
        <w:trPr>
          <w:trHeight w:val="337" w:hRule="atLeast"/>
        </w:trPr>
        <w:tc>
          <w:tcPr>
            <w:tcW w:w="13382" w:type="dxa"/>
            <w:gridSpan w:val="7"/>
            <w:tcBorders>
              <w:top w:val="nil"/>
              <w:left w:val="nil"/>
              <w:bottom w:val="nil"/>
              <w:right w:val="nil"/>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预算06表</w:t>
            </w:r>
          </w:p>
        </w:tc>
      </w:tr>
      <w:tr>
        <w:tblPrEx>
          <w:tblCellMar>
            <w:top w:w="0" w:type="dxa"/>
            <w:left w:w="108" w:type="dxa"/>
            <w:bottom w:w="0" w:type="dxa"/>
            <w:right w:w="108" w:type="dxa"/>
          </w:tblCellMar>
        </w:tblPrEx>
        <w:trPr>
          <w:trHeight w:val="671" w:hRule="atLeast"/>
        </w:trPr>
        <w:tc>
          <w:tcPr>
            <w:tcW w:w="13382" w:type="dxa"/>
            <w:gridSpan w:val="7"/>
            <w:tcBorders>
              <w:top w:val="nil"/>
              <w:left w:val="nil"/>
              <w:bottom w:val="nil"/>
              <w:right w:val="nil"/>
            </w:tcBorders>
            <w:shd w:val="clear" w:color="auto" w:fill="auto"/>
            <w:vAlign w:val="center"/>
          </w:tcPr>
          <w:p>
            <w:pPr>
              <w:widowControl/>
              <w:jc w:val="center"/>
              <w:rPr>
                <w:rFonts w:ascii="宋体" w:hAnsi="宋体" w:cs="宋体"/>
                <w:b/>
                <w:bCs/>
                <w:color w:val="000000"/>
                <w:kern w:val="0"/>
                <w:sz w:val="38"/>
                <w:szCs w:val="38"/>
              </w:rPr>
            </w:pPr>
            <w:r>
              <w:rPr>
                <w:rFonts w:hint="eastAsia" w:ascii="宋体" w:hAnsi="宋体" w:cs="宋体"/>
                <w:b/>
                <w:bCs/>
                <w:color w:val="000000"/>
                <w:kern w:val="0"/>
                <w:sz w:val="38"/>
                <w:szCs w:val="38"/>
              </w:rPr>
              <w:t>2024年一般公共预算基本支出表</w:t>
            </w:r>
          </w:p>
        </w:tc>
      </w:tr>
      <w:tr>
        <w:tblPrEx>
          <w:tblCellMar>
            <w:top w:w="0" w:type="dxa"/>
            <w:left w:w="108" w:type="dxa"/>
            <w:bottom w:w="0" w:type="dxa"/>
            <w:right w:w="108" w:type="dxa"/>
          </w:tblCellMar>
        </w:tblPrEx>
        <w:trPr>
          <w:trHeight w:val="335" w:hRule="atLeast"/>
        </w:trPr>
        <w:tc>
          <w:tcPr>
            <w:tcW w:w="1498" w:type="dxa"/>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单位名称：</w:t>
            </w:r>
          </w:p>
        </w:tc>
        <w:tc>
          <w:tcPr>
            <w:tcW w:w="10617" w:type="dxa"/>
            <w:gridSpan w:val="5"/>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安阳市龙安区城市管理行政执法局</w:t>
            </w:r>
          </w:p>
        </w:tc>
        <w:tc>
          <w:tcPr>
            <w:tcW w:w="1267"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337" w:hRule="atLeast"/>
        </w:trPr>
        <w:tc>
          <w:tcPr>
            <w:tcW w:w="4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部门预算支出经济分类科目</w:t>
            </w:r>
          </w:p>
        </w:tc>
        <w:tc>
          <w:tcPr>
            <w:tcW w:w="4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政府预算支出经济分类科目编码</w:t>
            </w:r>
          </w:p>
        </w:tc>
        <w:tc>
          <w:tcPr>
            <w:tcW w:w="4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本年一般公共预算基本支出</w:t>
            </w:r>
          </w:p>
        </w:tc>
      </w:tr>
      <w:tr>
        <w:tblPrEx>
          <w:tblCellMar>
            <w:top w:w="0" w:type="dxa"/>
            <w:left w:w="108" w:type="dxa"/>
            <w:bottom w:w="0" w:type="dxa"/>
            <w:right w:w="108" w:type="dxa"/>
          </w:tblCellMar>
        </w:tblPrEx>
        <w:trPr>
          <w:trHeight w:val="337"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科目编码</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科目编码</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w:t>
            </w:r>
          </w:p>
        </w:tc>
      </w:tr>
      <w:tr>
        <w:tblPrEx>
          <w:tblCellMar>
            <w:top w:w="0" w:type="dxa"/>
            <w:left w:w="108" w:type="dxa"/>
            <w:bottom w:w="0" w:type="dxa"/>
            <w:right w:w="108" w:type="dxa"/>
          </w:tblCellMar>
        </w:tblPrEx>
        <w:trPr>
          <w:trHeight w:val="337"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1,405.09</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1,273.71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131.38</w:t>
            </w:r>
          </w:p>
        </w:tc>
      </w:tr>
      <w:tr>
        <w:tblPrEx>
          <w:tblCellMar>
            <w:top w:w="0" w:type="dxa"/>
            <w:left w:w="108" w:type="dxa"/>
            <w:bottom w:w="0" w:type="dxa"/>
            <w:right w:w="108" w:type="dxa"/>
          </w:tblCellMar>
        </w:tblPrEx>
        <w:trPr>
          <w:trHeight w:val="532"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30108</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50102</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社会保障缴费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90.10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90.10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37"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职工基本医疗保险缴费</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50102</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社会保障缴费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41.11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37"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津贴补贴</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50101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工资奖金津补贴</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80.75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80.75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37"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30107</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绩效工资</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50501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122.48</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122.48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37"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其他社会保障缴费</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50102</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社会保障缴费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37"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公务员医疗补助缴费</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50102</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社会保障缴费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36.01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36.01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37"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退休费</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50905</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离退休费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37"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奖金</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50101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工资奖金津补贴</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214.38</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214.38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37"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劳务费</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50205</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委托业务费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174.00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174.00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37"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30239</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其他交通费用</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50201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办公经费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37"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基本工资</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50101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工资奖金津补贴</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406.41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406.41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37"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30207</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邮电费</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50201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办公经费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1.64</w:t>
            </w:r>
          </w:p>
        </w:tc>
      </w:tr>
      <w:tr>
        <w:tblPrEx>
          <w:tblCellMar>
            <w:top w:w="0" w:type="dxa"/>
            <w:left w:w="108" w:type="dxa"/>
            <w:bottom w:w="0" w:type="dxa"/>
            <w:right w:w="108" w:type="dxa"/>
          </w:tblCellMar>
        </w:tblPrEx>
        <w:trPr>
          <w:trHeight w:val="337"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公务用车运行维护费</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50208</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公务用车运行维护费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10.80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10.80</w:t>
            </w:r>
          </w:p>
        </w:tc>
      </w:tr>
      <w:tr>
        <w:tblPrEx>
          <w:tblCellMar>
            <w:top w:w="0" w:type="dxa"/>
            <w:left w:w="108" w:type="dxa"/>
            <w:bottom w:w="0" w:type="dxa"/>
            <w:right w:w="108" w:type="dxa"/>
          </w:tblCellMar>
        </w:tblPrEx>
        <w:trPr>
          <w:trHeight w:val="337"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电费</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50201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办公经费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5.00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5.00</w:t>
            </w:r>
          </w:p>
        </w:tc>
      </w:tr>
      <w:tr>
        <w:tblPrEx>
          <w:tblCellMar>
            <w:top w:w="0" w:type="dxa"/>
            <w:left w:w="108" w:type="dxa"/>
            <w:bottom w:w="0" w:type="dxa"/>
            <w:right w:w="108" w:type="dxa"/>
          </w:tblCellMar>
        </w:tblPrEx>
        <w:trPr>
          <w:trHeight w:val="337"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办公费</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50201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办公经费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5.00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5.00</w:t>
            </w:r>
          </w:p>
        </w:tc>
      </w:tr>
      <w:tr>
        <w:tblPrEx>
          <w:tblCellMar>
            <w:top w:w="0" w:type="dxa"/>
            <w:left w:w="108" w:type="dxa"/>
            <w:bottom w:w="0" w:type="dxa"/>
            <w:right w:w="108" w:type="dxa"/>
          </w:tblCellMar>
        </w:tblPrEx>
        <w:trPr>
          <w:trHeight w:val="337"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30228</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工会经费</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50201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办公经费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w:t>
            </w:r>
          </w:p>
        </w:tc>
      </w:tr>
      <w:tr>
        <w:tblPrEx>
          <w:tblCellMar>
            <w:top w:w="0" w:type="dxa"/>
            <w:left w:w="108" w:type="dxa"/>
            <w:bottom w:w="0" w:type="dxa"/>
            <w:right w:w="108" w:type="dxa"/>
          </w:tblCellMar>
        </w:tblPrEx>
        <w:trPr>
          <w:trHeight w:val="337"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30299</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50299</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94.72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94.72</w:t>
            </w:r>
          </w:p>
        </w:tc>
      </w:tr>
      <w:tr>
        <w:tblPrEx>
          <w:tblCellMar>
            <w:top w:w="0" w:type="dxa"/>
            <w:left w:w="108" w:type="dxa"/>
            <w:bottom w:w="0" w:type="dxa"/>
            <w:right w:w="108" w:type="dxa"/>
          </w:tblCellMar>
        </w:tblPrEx>
        <w:trPr>
          <w:trHeight w:val="337"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水费</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50201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办公经费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1.22</w:t>
            </w:r>
          </w:p>
        </w:tc>
      </w:tr>
      <w:tr>
        <w:tblPrEx>
          <w:tblCellMar>
            <w:top w:w="0" w:type="dxa"/>
            <w:left w:w="108" w:type="dxa"/>
            <w:bottom w:w="0" w:type="dxa"/>
            <w:right w:w="108" w:type="dxa"/>
          </w:tblCellMar>
        </w:tblPrEx>
        <w:trPr>
          <w:trHeight w:val="337"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50103</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102.75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102.75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r>
        <w:pict>
          <v:shape id="_x0000_i1028" o:spt="75" type="#_x0000_t75" style="height:487.5pt;width:672.75pt;" filled="f" o:preferrelative="t" stroked="f" coordsize="21600,21600">
            <v:path/>
            <v:fill on="f" focussize="0,0"/>
            <v:stroke on="f" joinstyle="miter"/>
            <v:imagedata r:id="rId8" o:title=""/>
            <o:lock v:ext="edit" aspectratio="t"/>
            <w10:wrap type="none"/>
            <w10:anchorlock/>
          </v:shape>
        </w:pict>
      </w:r>
    </w:p>
    <w:tbl>
      <w:tblPr>
        <w:tblStyle w:val="6"/>
        <w:tblW w:w="13606" w:type="dxa"/>
        <w:tblInd w:w="93" w:type="dxa"/>
        <w:tblLayout w:type="autofit"/>
        <w:tblCellMar>
          <w:top w:w="0" w:type="dxa"/>
          <w:left w:w="108" w:type="dxa"/>
          <w:bottom w:w="0" w:type="dxa"/>
          <w:right w:w="108" w:type="dxa"/>
        </w:tblCellMar>
      </w:tblPr>
      <w:tblGrid>
        <w:gridCol w:w="2270"/>
        <w:gridCol w:w="2082"/>
        <w:gridCol w:w="2288"/>
        <w:gridCol w:w="2682"/>
        <w:gridCol w:w="2323"/>
        <w:gridCol w:w="1961"/>
      </w:tblGrid>
      <w:tr>
        <w:tblPrEx>
          <w:tblCellMar>
            <w:top w:w="0" w:type="dxa"/>
            <w:left w:w="108" w:type="dxa"/>
            <w:bottom w:w="0" w:type="dxa"/>
            <w:right w:w="108" w:type="dxa"/>
          </w:tblCellMar>
        </w:tblPrEx>
        <w:trPr>
          <w:trHeight w:val="467" w:hRule="atLeast"/>
        </w:trPr>
        <w:tc>
          <w:tcPr>
            <w:tcW w:w="13605" w:type="dxa"/>
            <w:gridSpan w:val="6"/>
            <w:tcBorders>
              <w:top w:val="nil"/>
              <w:left w:val="nil"/>
              <w:bottom w:val="nil"/>
              <w:right w:val="nil"/>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预算08表</w:t>
            </w:r>
          </w:p>
        </w:tc>
      </w:tr>
      <w:tr>
        <w:tblPrEx>
          <w:tblCellMar>
            <w:top w:w="0" w:type="dxa"/>
            <w:left w:w="108" w:type="dxa"/>
            <w:bottom w:w="0" w:type="dxa"/>
            <w:right w:w="108" w:type="dxa"/>
          </w:tblCellMar>
        </w:tblPrEx>
        <w:trPr>
          <w:trHeight w:val="930" w:hRule="atLeast"/>
        </w:trPr>
        <w:tc>
          <w:tcPr>
            <w:tcW w:w="13605"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38"/>
                <w:szCs w:val="38"/>
              </w:rPr>
            </w:pPr>
            <w:r>
              <w:rPr>
                <w:rFonts w:hint="eastAsia" w:ascii="宋体" w:hAnsi="宋体" w:cs="宋体"/>
                <w:b/>
                <w:bCs/>
                <w:color w:val="000000"/>
                <w:kern w:val="0"/>
                <w:sz w:val="38"/>
                <w:szCs w:val="38"/>
              </w:rPr>
              <w:t>2024年一般公共预算“三公”经费预算表</w:t>
            </w:r>
          </w:p>
        </w:tc>
      </w:tr>
      <w:tr>
        <w:tblPrEx>
          <w:tblCellMar>
            <w:top w:w="0" w:type="dxa"/>
            <w:left w:w="108" w:type="dxa"/>
            <w:bottom w:w="0" w:type="dxa"/>
            <w:right w:w="108" w:type="dxa"/>
          </w:tblCellMar>
        </w:tblPrEx>
        <w:trPr>
          <w:trHeight w:val="466" w:hRule="atLeast"/>
        </w:trPr>
        <w:tc>
          <w:tcPr>
            <w:tcW w:w="2270" w:type="dxa"/>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单位名称：</w:t>
            </w:r>
          </w:p>
        </w:tc>
        <w:tc>
          <w:tcPr>
            <w:tcW w:w="9375" w:type="dxa"/>
            <w:gridSpan w:val="4"/>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安阳市龙安区城市管理行政执法局</w:t>
            </w:r>
          </w:p>
        </w:tc>
        <w:tc>
          <w:tcPr>
            <w:tcW w:w="1961"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67" w:hRule="atLeast"/>
        </w:trPr>
        <w:tc>
          <w:tcPr>
            <w:tcW w:w="2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“三公”经费合计</w:t>
            </w: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因公出国（境）费</w:t>
            </w:r>
          </w:p>
        </w:tc>
        <w:tc>
          <w:tcPr>
            <w:tcW w:w="72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公务用车购置及运行费</w:t>
            </w:r>
          </w:p>
        </w:tc>
        <w:tc>
          <w:tcPr>
            <w:tcW w:w="1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公务接待费</w:t>
            </w:r>
          </w:p>
        </w:tc>
      </w:tr>
      <w:tr>
        <w:tblPrEx>
          <w:tblCellMar>
            <w:top w:w="0" w:type="dxa"/>
            <w:left w:w="108" w:type="dxa"/>
            <w:bottom w:w="0" w:type="dxa"/>
            <w:right w:w="108" w:type="dxa"/>
          </w:tblCellMar>
        </w:tblPrEx>
        <w:trPr>
          <w:trHeight w:val="467" w:hRule="atLeast"/>
        </w:trPr>
        <w:tc>
          <w:tcPr>
            <w:tcW w:w="22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0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公务用车购置费</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公务用车运行费</w:t>
            </w:r>
          </w:p>
        </w:tc>
        <w:tc>
          <w:tcPr>
            <w:tcW w:w="19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67" w:hRule="atLeast"/>
        </w:trPr>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10.80</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10.80</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10.80</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365" w:hRule="atLeast"/>
        </w:trPr>
        <w:tc>
          <w:tcPr>
            <w:tcW w:w="13605" w:type="dxa"/>
            <w:gridSpan w:val="6"/>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6"/>
        <w:tblW w:w="13647" w:type="dxa"/>
        <w:tblInd w:w="93" w:type="dxa"/>
        <w:tblLayout w:type="autofit"/>
        <w:tblCellMar>
          <w:top w:w="0" w:type="dxa"/>
          <w:left w:w="108" w:type="dxa"/>
          <w:bottom w:w="0" w:type="dxa"/>
          <w:right w:w="108" w:type="dxa"/>
        </w:tblCellMar>
      </w:tblPr>
      <w:tblGrid>
        <w:gridCol w:w="569"/>
        <w:gridCol w:w="567"/>
        <w:gridCol w:w="568"/>
        <w:gridCol w:w="878"/>
        <w:gridCol w:w="2778"/>
        <w:gridCol w:w="1346"/>
        <w:gridCol w:w="738"/>
        <w:gridCol w:w="738"/>
        <w:gridCol w:w="839"/>
        <w:gridCol w:w="906"/>
        <w:gridCol w:w="805"/>
        <w:gridCol w:w="983"/>
        <w:gridCol w:w="984"/>
        <w:gridCol w:w="948"/>
      </w:tblGrid>
      <w:tr>
        <w:tblPrEx>
          <w:tblCellMar>
            <w:top w:w="0" w:type="dxa"/>
            <w:left w:w="108" w:type="dxa"/>
            <w:bottom w:w="0" w:type="dxa"/>
            <w:right w:w="108" w:type="dxa"/>
          </w:tblCellMar>
        </w:tblPrEx>
        <w:trPr>
          <w:trHeight w:val="389" w:hRule="atLeast"/>
        </w:trPr>
        <w:tc>
          <w:tcPr>
            <w:tcW w:w="13647" w:type="dxa"/>
            <w:gridSpan w:val="14"/>
            <w:tcBorders>
              <w:top w:val="nil"/>
              <w:left w:val="nil"/>
              <w:bottom w:val="nil"/>
              <w:right w:val="nil"/>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预算09表</w:t>
            </w:r>
          </w:p>
        </w:tc>
      </w:tr>
      <w:tr>
        <w:tblPrEx>
          <w:tblCellMar>
            <w:top w:w="0" w:type="dxa"/>
            <w:left w:w="108" w:type="dxa"/>
            <w:bottom w:w="0" w:type="dxa"/>
            <w:right w:w="108" w:type="dxa"/>
          </w:tblCellMar>
        </w:tblPrEx>
        <w:trPr>
          <w:trHeight w:val="775" w:hRule="atLeast"/>
        </w:trPr>
        <w:tc>
          <w:tcPr>
            <w:tcW w:w="13647" w:type="dxa"/>
            <w:gridSpan w:val="14"/>
            <w:tcBorders>
              <w:top w:val="nil"/>
              <w:left w:val="nil"/>
              <w:bottom w:val="nil"/>
              <w:right w:val="nil"/>
            </w:tcBorders>
            <w:shd w:val="clear" w:color="auto" w:fill="auto"/>
            <w:vAlign w:val="center"/>
          </w:tcPr>
          <w:p>
            <w:pPr>
              <w:widowControl/>
              <w:jc w:val="center"/>
              <w:rPr>
                <w:rFonts w:ascii="宋体" w:hAnsi="宋体" w:cs="宋体"/>
                <w:b/>
                <w:bCs/>
                <w:color w:val="000000"/>
                <w:kern w:val="0"/>
                <w:sz w:val="38"/>
                <w:szCs w:val="38"/>
              </w:rPr>
            </w:pPr>
            <w:r>
              <w:rPr>
                <w:rFonts w:hint="eastAsia" w:ascii="宋体" w:hAnsi="宋体" w:cs="宋体"/>
                <w:b/>
                <w:bCs/>
                <w:color w:val="000000"/>
                <w:kern w:val="0"/>
                <w:sz w:val="38"/>
                <w:szCs w:val="38"/>
              </w:rPr>
              <w:t>2024年政府性基金支出预算表</w:t>
            </w:r>
          </w:p>
        </w:tc>
      </w:tr>
      <w:tr>
        <w:tblPrEx>
          <w:tblCellMar>
            <w:top w:w="0" w:type="dxa"/>
            <w:left w:w="108" w:type="dxa"/>
            <w:bottom w:w="0" w:type="dxa"/>
            <w:right w:w="108" w:type="dxa"/>
          </w:tblCellMar>
        </w:tblPrEx>
        <w:trPr>
          <w:trHeight w:val="388" w:hRule="atLeast"/>
        </w:trPr>
        <w:tc>
          <w:tcPr>
            <w:tcW w:w="1705" w:type="dxa"/>
            <w:gridSpan w:val="3"/>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单位名称：</w:t>
            </w:r>
          </w:p>
        </w:tc>
        <w:tc>
          <w:tcPr>
            <w:tcW w:w="10995" w:type="dxa"/>
            <w:gridSpan w:val="10"/>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安阳市龙安区城市管理行政执法局</w:t>
            </w:r>
          </w:p>
        </w:tc>
        <w:tc>
          <w:tcPr>
            <w:tcW w:w="947"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389" w:hRule="atLeast"/>
        </w:trPr>
        <w:tc>
          <w:tcPr>
            <w:tcW w:w="17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科目编码</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单位代码</w:t>
            </w:r>
          </w:p>
        </w:tc>
        <w:tc>
          <w:tcPr>
            <w:tcW w:w="2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单位（科目名称）</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40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基本支出  </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项目支出</w:t>
            </w:r>
          </w:p>
        </w:tc>
      </w:tr>
      <w:tr>
        <w:tblPrEx>
          <w:tblCellMar>
            <w:top w:w="0" w:type="dxa"/>
            <w:left w:w="108" w:type="dxa"/>
            <w:bottom w:w="0" w:type="dxa"/>
            <w:right w:w="108" w:type="dxa"/>
          </w:tblCellMar>
        </w:tblPrEx>
        <w:trPr>
          <w:trHeight w:val="389" w:hRule="atLeast"/>
        </w:trPr>
        <w:tc>
          <w:tcPr>
            <w:tcW w:w="1705"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7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3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其他运转类</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特定目标类</w:t>
            </w:r>
          </w:p>
        </w:tc>
      </w:tr>
      <w:tr>
        <w:tblPrEx>
          <w:tblCellMar>
            <w:top w:w="0" w:type="dxa"/>
            <w:left w:w="108" w:type="dxa"/>
            <w:bottom w:w="0" w:type="dxa"/>
            <w:right w:w="108" w:type="dxa"/>
          </w:tblCellMar>
        </w:tblPrEx>
        <w:trPr>
          <w:trHeight w:val="924"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类</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款</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7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3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7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资本性支出</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8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3,500.0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3,500.0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616"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019001</w:t>
            </w:r>
          </w:p>
        </w:tc>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安阳市龙安区城市管理行政执法局</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3,500.0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3,500.0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616"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229</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其他政府性基金债务收入安排的支出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3,500.0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3,500.0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r>
        <w:pict>
          <v:shape id="_x0000_i1029" o:spt="75" type="#_x0000_t75" style="height:479.25pt;width:590.25pt;" filled="f" o:preferrelative="t" stroked="f" coordsize="21600,21600">
            <v:path/>
            <v:fill on="f" focussize="0,0"/>
            <v:stroke on="f" joinstyle="miter"/>
            <v:imagedata r:id="rId9" o:title=""/>
            <o:lock v:ext="edit" aspectratio="t"/>
            <w10:wrap type="none"/>
            <w10:anchorlock/>
          </v:shape>
        </w:pict>
      </w:r>
    </w:p>
    <w:p>
      <w:pPr>
        <w:adjustRightInd w:val="0"/>
        <w:snapToGrid w:val="0"/>
        <w:spacing w:line="360" w:lineRule="auto"/>
        <w:rPr>
          <w:rFonts w:ascii="仿宋_GB2312" w:hAnsi="仿宋_GB2312" w:eastAsia="仿宋_GB2312" w:cs="仿宋_GB2312"/>
          <w:color w:val="FF0000"/>
          <w:sz w:val="32"/>
          <w:szCs w:val="32"/>
        </w:rPr>
      </w:pPr>
      <w:r>
        <w:pict>
          <v:shape id="_x0000_i1030" o:spt="75" alt="" type="#_x0000_t75" style="height:341.95pt;width:728.25pt;" filled="f" o:preferrelative="t" stroked="f" coordsize="21600,21600">
            <v:path/>
            <v:fill on="f" focussize="0,0"/>
            <v:stroke on="f"/>
            <v:imagedata r:id="rId10" o:title=""/>
            <o:lock v:ext="edit" aspectratio="t"/>
            <w10:wrap type="none"/>
            <w10:anchorlock/>
          </v:shape>
        </w:pict>
      </w: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sectPr>
          <w:pgSz w:w="16838" w:h="11906" w:orient="landscape"/>
          <w:pgMar w:top="1077" w:right="1440" w:bottom="1077" w:left="1440" w:header="851" w:footer="992" w:gutter="0"/>
          <w:cols w:space="425" w:num="1"/>
          <w:docGrid w:type="linesAndChars" w:linePitch="312" w:charSpace="0"/>
        </w:sectPr>
      </w:pPr>
    </w:p>
    <w:tbl>
      <w:tblPr>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50"/>
        <w:gridCol w:w="1448"/>
        <w:gridCol w:w="2197"/>
        <w:gridCol w:w="1172"/>
        <w:gridCol w:w="3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410" w:type="dxa"/>
            <w:gridSpan w:val="5"/>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 xml:space="preserve">    </w:t>
            </w:r>
            <w:r>
              <w:rPr>
                <w:rFonts w:hint="eastAsia" w:ascii="宋体" w:hAnsi="宋体" w:cs="宋体"/>
                <w:b/>
                <w:bCs/>
                <w:i w:val="0"/>
                <w:iCs w:val="0"/>
                <w:color w:val="000000"/>
                <w:kern w:val="0"/>
                <w:sz w:val="38"/>
                <w:szCs w:val="38"/>
                <w:u w:val="none"/>
                <w:bdr w:val="none" w:color="auto" w:sz="0" w:space="0"/>
                <w:lang w:val="en-US" w:eastAsia="zh-CN" w:bidi="ar"/>
              </w:rPr>
              <w:t xml:space="preserve">      </w:t>
            </w:r>
            <w:r>
              <w:rPr>
                <w:rFonts w:ascii="宋体" w:hAnsi="宋体" w:eastAsia="宋体" w:cs="宋体"/>
                <w:b/>
                <w:bCs/>
                <w:i w:val="0"/>
                <w:iCs w:val="0"/>
                <w:color w:val="000000"/>
                <w:kern w:val="0"/>
                <w:sz w:val="38"/>
                <w:szCs w:val="38"/>
                <w:u w:val="none"/>
                <w:bdr w:val="none" w:color="auto" w:sz="0" w:space="0"/>
                <w:lang w:val="en-US" w:eastAsia="zh-CN" w:bidi="ar"/>
              </w:rPr>
              <w:t xml:space="preserve">部门（单位）整体绩效目标表  </w:t>
            </w:r>
            <w:r>
              <w:rPr>
                <w:rFonts w:hint="eastAsia" w:ascii="宋体" w:hAnsi="宋体" w:cs="宋体"/>
                <w:b/>
                <w:bCs/>
                <w:i w:val="0"/>
                <w:iCs w:val="0"/>
                <w:color w:val="000000"/>
                <w:kern w:val="0"/>
                <w:sz w:val="38"/>
                <w:szCs w:val="38"/>
                <w:u w:val="none"/>
                <w:bdr w:val="none" w:color="auto" w:sz="0" w:space="0"/>
                <w:lang w:val="en-US" w:eastAsia="zh-CN" w:bidi="ar"/>
              </w:rPr>
              <w:t xml:space="preserve">    </w:t>
            </w:r>
            <w:r>
              <w:rPr>
                <w:rStyle w:val="12"/>
                <w:lang w:val="en-US" w:eastAsia="zh-CN" w:bidi="ar"/>
              </w:rPr>
              <w:t>预算12表</w:t>
            </w:r>
            <w:r>
              <w:rPr>
                <w:rFonts w:ascii="宋体" w:hAnsi="宋体" w:eastAsia="宋体" w:cs="宋体"/>
                <w:b/>
                <w:bCs/>
                <w:i w:val="0"/>
                <w:iCs w:val="0"/>
                <w:color w:val="000000"/>
                <w:kern w:val="0"/>
                <w:sz w:val="38"/>
                <w:szCs w:val="38"/>
                <w:u w:val="none"/>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410" w:type="dxa"/>
            <w:gridSpan w:val="5"/>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bdr w:val="none" w:color="auto" w:sz="0" w:space="0"/>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10"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部门名称：安阳市龙安区城市管理行政执法局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6" w:hRule="atLeast"/>
        </w:trPr>
        <w:tc>
          <w:tcPr>
            <w:tcW w:w="1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年度履职目标</w:t>
            </w:r>
          </w:p>
        </w:tc>
        <w:tc>
          <w:tcPr>
            <w:tcW w:w="805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今年以来，龙安区城管执法局以习近平新时代中国特色社会主义思想为指导，深入贯彻落实党的二十大和习近平总书记视察陕西延安、河南安阳重要讲话精神，全面贯彻落实中央、省、市、区经济工作会议精神，大力传承弘扬红旗渠精神；按照城市管理工作向精细化、法制化、智慧化的要求，以“绣花功夫”全面推进城市精细化治理，树立全方位的城市管理理念，把改善人居环境、助力乡村振兴作为城市管理的根本目的，让城市更加宜业、宜居。截止10月份，在全市城市管理目标考核中，我局取得9个第一， 1个第二的好成绩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年度主要任务</w:t>
            </w:r>
          </w:p>
        </w:tc>
        <w:tc>
          <w:tcPr>
            <w:tcW w:w="364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任务名称</w:t>
            </w:r>
          </w:p>
        </w:tc>
        <w:tc>
          <w:tcPr>
            <w:tcW w:w="44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一、聚焦城市发展，推进市容市貌深化整治</w:t>
            </w:r>
          </w:p>
        </w:tc>
        <w:tc>
          <w:tcPr>
            <w:tcW w:w="44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疏堵结合，不断深化市容秩序整治。(二)突出重点，扎实开展违法建设整治。(三)多措并举，持续开展窨井盖专项整治。(四)拓展延伸，不断深化电力管线规范整治。（五）多管齐下，推进文明养犬整治。(六)全面监管，不断深化环境污染防治。(七)强力推动。(八)全面排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二、聚焦精细管理，推进城市品质持久提升</w:t>
            </w:r>
          </w:p>
        </w:tc>
        <w:tc>
          <w:tcPr>
            <w:tcW w:w="44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(一)加强园林绿化项目建设和管养。(二)落实门前五包责任，(三)强力补网, （四）推进综合执法智慧化，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三、聚焦群众难题，倾情服务民生</w:t>
            </w:r>
          </w:p>
        </w:tc>
        <w:tc>
          <w:tcPr>
            <w:tcW w:w="44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一是广设推群点、为游商安家、留住烟火气；绘制瓜果 地图，进一步优化便民利民服务；目前，已设置完成果蔬食品便民销点6个，夜市摊点8个；安置游商300余个，提供从业岗位400余人。二是聚焦城市居民小修小补难的问题.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四、聚焦改革创新，推动环卫工作深入开展</w:t>
            </w:r>
          </w:p>
        </w:tc>
        <w:tc>
          <w:tcPr>
            <w:tcW w:w="44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（一）完善作业管理机制。（二）推进垃圾分类常态化管理。（三）规范城市生活垃圾处理费征收工作。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五、聚焦深度融合，推进党建引领凝心铸魂</w:t>
            </w:r>
          </w:p>
        </w:tc>
        <w:tc>
          <w:tcPr>
            <w:tcW w:w="44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(一)实学真干，推动主题教育走深走实。(二)开展警示教育。(三)强化党建服务效能。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六、聚焦提升效能，持续加强机关建设。</w:t>
            </w:r>
          </w:p>
        </w:tc>
        <w:tc>
          <w:tcPr>
            <w:tcW w:w="44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进一步树牢宗旨意识，继续深化“721”工作法，开展“强基础、转作风、树形象”主题活动;抓好政务服务和信访稳定工作，及时解决市民关注的焦点、热点、难点问题。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预算情况  </w:t>
            </w:r>
          </w:p>
        </w:tc>
        <w:tc>
          <w:tcPr>
            <w:tcW w:w="364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部门预算总额（元）</w:t>
            </w:r>
          </w:p>
        </w:tc>
        <w:tc>
          <w:tcPr>
            <w:tcW w:w="44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111,230,800.0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1、资金来源：</w:t>
            </w:r>
          </w:p>
        </w:tc>
        <w:tc>
          <w:tcPr>
            <w:tcW w:w="219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（1）政府预算资金</w:t>
            </w:r>
          </w:p>
        </w:tc>
        <w:tc>
          <w:tcPr>
            <w:tcW w:w="44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111,230,800.0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18"/>
                <w:szCs w:val="18"/>
                <w:u w:val="none"/>
              </w:rPr>
            </w:pPr>
          </w:p>
        </w:tc>
        <w:tc>
          <w:tcPr>
            <w:tcW w:w="219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（2）财政专户管理资金</w:t>
            </w:r>
          </w:p>
        </w:tc>
        <w:tc>
          <w:tcPr>
            <w:tcW w:w="44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18"/>
                <w:szCs w:val="18"/>
                <w:u w:val="none"/>
              </w:rPr>
            </w:pPr>
          </w:p>
        </w:tc>
        <w:tc>
          <w:tcPr>
            <w:tcW w:w="219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（3）单位资金</w:t>
            </w:r>
          </w:p>
        </w:tc>
        <w:tc>
          <w:tcPr>
            <w:tcW w:w="44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2、资金结构：</w:t>
            </w:r>
          </w:p>
        </w:tc>
        <w:tc>
          <w:tcPr>
            <w:tcW w:w="219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（1）基本支出</w:t>
            </w:r>
          </w:p>
        </w:tc>
        <w:tc>
          <w:tcPr>
            <w:tcW w:w="44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14,050,900.0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nil"/>
            </w:tcBorders>
            <w:shd w:val="clear"/>
            <w:vAlign w:val="center"/>
          </w:tcPr>
          <w:p>
            <w:pPr>
              <w:jc w:val="left"/>
              <w:rPr>
                <w:rFonts w:hint="eastAsia" w:ascii="宋体" w:hAnsi="宋体" w:eastAsia="宋体" w:cs="宋体"/>
                <w:i w:val="0"/>
                <w:iCs w:val="0"/>
                <w:color w:val="000000"/>
                <w:sz w:val="18"/>
                <w:szCs w:val="18"/>
                <w:u w:val="none"/>
              </w:rPr>
            </w:pPr>
          </w:p>
        </w:tc>
        <w:tc>
          <w:tcPr>
            <w:tcW w:w="219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（2）项目支出</w:t>
            </w:r>
          </w:p>
        </w:tc>
        <w:tc>
          <w:tcPr>
            <w:tcW w:w="44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97,179,900.0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4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投入管理指标  </w:t>
            </w:r>
          </w:p>
        </w:tc>
        <w:tc>
          <w:tcPr>
            <w:tcW w:w="144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工作目标管理  </w:t>
            </w: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年度履职目标相关性</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相关</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工作任务科学性</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科学</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绩效指标合理性</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合理</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预算和财务管理  </w:t>
            </w: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预算编制完整性</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完整</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1.部门所有收入是否全部纳入部门预算；2.部门支出预算是否统筹各类资金来源，全部纳入部门预算管理。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专项资金细化率</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专项资金细化率=（已细化到具体市县和承担单位的资金数/部门参与分配资金总数）×100%。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预算执行率=（预算完成数/预算数）×100%。预算完成数指部门实际执行的预算数；预算数指财政部门批复的本年度部门的（调整）预算数。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预算调整率</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结转结余率</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结转结余率=结转结余总额/预算数*100%。结转结余总额是指部门本年度的结转结余资金之和。预算数是指财政部门批复的本年度部门的（调整）预算数。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“三公经费”控制率=本年度“三公经费”实际支出数/“三公经费”预算数*100%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政府采购执行率</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政府采购执行率=（实际政府采购金额/政府采购预算数）×100%。政府采购预算：采购机关根据事业发展计划和行政任务编制的、并经过规定程序批准的年度政府采购计划。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决算真实性</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真实</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反映本部门决算工作情况。决算编制数据是否账表一致，即决算报表数据与会计账簿数据是否一致。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9"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资金使用合规性</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合规</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管理制度健全性</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健全</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预决算信息公开性</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公开</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9"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资产管理规范性</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规范</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绩效管理  </w:t>
            </w:r>
          </w:p>
        </w:tc>
        <w:tc>
          <w:tcPr>
            <w:tcW w:w="2198" w:type="dxa"/>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绩效目标编制完成率</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部门（单位）按要求编制绩效目标的项目数量占应编制绩效目标项目总数的比重。部门目标编制完成率=已完成绩效目标编制项目数量/部门应编制绩效目标项目总数*100%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绩效监控完成率</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部门（单位）按要求实施绩效监控的项目数量占应实施绩效监控项目总数的比重。部门绩效监控完成率=已完成绩效监控项目数量/部门项目总数*100%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绩效自评完成率</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部门（单位）按要求实施绩效自评的项目数量占应实施绩效自评项目总数的比重。部门绩效自评完成率=已完成评价项目数量/部门项目总数*100%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部门绩效评价完成率</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部门重点绩效评价项目评价完成情况。部门绩效评价完成率=已完成评价项目数量/部门重点绩效评价项目数*100%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评价结果应用率</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绩效监控、单位自评、部门绩效评价、财政重点绩效评价结果应用情况。评价结果应用率=评价提出的意见建议采纳数/提出的意见建议总数*100%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产出指标  </w:t>
            </w:r>
          </w:p>
        </w:tc>
        <w:tc>
          <w:tcPr>
            <w:tcW w:w="144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重点工作任务完成</w:t>
            </w: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一、聚焦城市发展，推进市容市貌深化整治</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二、聚焦精细管理，推进城市品质持久提升</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三、聚焦群众难题，倾情服务民生</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四、聚焦改革创新，推动环卫工作深入开展</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五、聚焦深度融合，推进党建引领凝心铸魂</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六、聚焦提升效能，持续加强机关建设。</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履职目标实现</w:t>
            </w: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1、坚持依法治理，持续提升城管队伍建设。</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2、提升党建工作水平，同步推进廉政建设。</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3、提升网格化管理水平，捋顺监督考核机制。</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4、提升人居环境水平，助力乡村振兴。</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效益指标  </w:t>
            </w:r>
          </w:p>
        </w:tc>
        <w:tc>
          <w:tcPr>
            <w:tcW w:w="144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履职效益</w:t>
            </w: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治理提升工作</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网格管理工作</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党建廉政工作</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w:t>
            </w:r>
          </w:p>
        </w:tc>
        <w:tc>
          <w:tcPr>
            <w:tcW w:w="2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群众满意度</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bl>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sectPr>
          <w:pgSz w:w="11906" w:h="16838"/>
          <w:pgMar w:top="1440" w:right="1077" w:bottom="1440" w:left="1077" w:header="851" w:footer="992" w:gutter="0"/>
          <w:cols w:space="425" w:num="1"/>
          <w:docGrid w:type="linesAndChars" w:linePitch="312" w:charSpace="0"/>
        </w:sectPr>
      </w:pPr>
    </w:p>
    <w:p>
      <w:pPr>
        <w:adjustRightInd w:val="0"/>
        <w:snapToGrid w:val="0"/>
        <w:spacing w:line="360" w:lineRule="auto"/>
        <w:rPr>
          <w:rFonts w:ascii="仿宋_GB2312" w:hAnsi="仿宋_GB2312" w:eastAsia="仿宋_GB2312" w:cs="仿宋_GB2312"/>
          <w:color w:val="FF0000"/>
          <w:sz w:val="32"/>
          <w:szCs w:val="32"/>
        </w:rPr>
      </w:pPr>
    </w:p>
    <w:sectPr>
      <w:pgSz w:w="16838" w:h="11906" w:orient="landscape"/>
      <w:pgMar w:top="1077" w:right="1440" w:bottom="107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decorative"/>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2796E"/>
    <w:multiLevelType w:val="multilevel"/>
    <w:tmpl w:val="43E2796E"/>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YyZjQ1NGY3ODFkOGI5MGQxYWFiN2NiMmY1NjkyNWMifQ=="/>
  </w:docVars>
  <w:rsids>
    <w:rsidRoot w:val="006B7E0B"/>
    <w:rsid w:val="00005D94"/>
    <w:rsid w:val="00026E9A"/>
    <w:rsid w:val="000427E8"/>
    <w:rsid w:val="00044158"/>
    <w:rsid w:val="000445AA"/>
    <w:rsid w:val="000642D8"/>
    <w:rsid w:val="00073592"/>
    <w:rsid w:val="00080DD7"/>
    <w:rsid w:val="0008587E"/>
    <w:rsid w:val="00091356"/>
    <w:rsid w:val="000A16EC"/>
    <w:rsid w:val="000A1FF3"/>
    <w:rsid w:val="000A2C68"/>
    <w:rsid w:val="000D2294"/>
    <w:rsid w:val="000E0164"/>
    <w:rsid w:val="000E720F"/>
    <w:rsid w:val="000F19F0"/>
    <w:rsid w:val="000F6C8B"/>
    <w:rsid w:val="0010210A"/>
    <w:rsid w:val="00110824"/>
    <w:rsid w:val="00115771"/>
    <w:rsid w:val="00115915"/>
    <w:rsid w:val="00115A5E"/>
    <w:rsid w:val="0011799F"/>
    <w:rsid w:val="001212B9"/>
    <w:rsid w:val="00132DF8"/>
    <w:rsid w:val="00135308"/>
    <w:rsid w:val="00136EC9"/>
    <w:rsid w:val="00142115"/>
    <w:rsid w:val="001422FF"/>
    <w:rsid w:val="001470AF"/>
    <w:rsid w:val="001609D9"/>
    <w:rsid w:val="00160C6A"/>
    <w:rsid w:val="00162AC7"/>
    <w:rsid w:val="001640F3"/>
    <w:rsid w:val="0016521F"/>
    <w:rsid w:val="00170A57"/>
    <w:rsid w:val="00172B5F"/>
    <w:rsid w:val="00173A31"/>
    <w:rsid w:val="001757FE"/>
    <w:rsid w:val="00175E9C"/>
    <w:rsid w:val="00184A45"/>
    <w:rsid w:val="00186BD2"/>
    <w:rsid w:val="00193277"/>
    <w:rsid w:val="001A21DA"/>
    <w:rsid w:val="001A3EB9"/>
    <w:rsid w:val="001B0AF0"/>
    <w:rsid w:val="001C16F6"/>
    <w:rsid w:val="001C23BE"/>
    <w:rsid w:val="001D4BA6"/>
    <w:rsid w:val="001D7273"/>
    <w:rsid w:val="001E0093"/>
    <w:rsid w:val="001E0F8C"/>
    <w:rsid w:val="001E39C5"/>
    <w:rsid w:val="001E7927"/>
    <w:rsid w:val="001F7F9B"/>
    <w:rsid w:val="00200BD7"/>
    <w:rsid w:val="00202EA8"/>
    <w:rsid w:val="002030EF"/>
    <w:rsid w:val="0020794B"/>
    <w:rsid w:val="00224EBA"/>
    <w:rsid w:val="00233319"/>
    <w:rsid w:val="002510C2"/>
    <w:rsid w:val="00265B28"/>
    <w:rsid w:val="0026795F"/>
    <w:rsid w:val="00273D47"/>
    <w:rsid w:val="002750D3"/>
    <w:rsid w:val="0029168C"/>
    <w:rsid w:val="002A620A"/>
    <w:rsid w:val="002B2025"/>
    <w:rsid w:val="002B4509"/>
    <w:rsid w:val="002C2A80"/>
    <w:rsid w:val="002C5AAE"/>
    <w:rsid w:val="002D32B4"/>
    <w:rsid w:val="002E3BE4"/>
    <w:rsid w:val="002E4313"/>
    <w:rsid w:val="002F22D2"/>
    <w:rsid w:val="002F3BB6"/>
    <w:rsid w:val="00311B03"/>
    <w:rsid w:val="003273C9"/>
    <w:rsid w:val="00327E4A"/>
    <w:rsid w:val="003352BA"/>
    <w:rsid w:val="00336785"/>
    <w:rsid w:val="00337177"/>
    <w:rsid w:val="00350476"/>
    <w:rsid w:val="0035195B"/>
    <w:rsid w:val="0035776D"/>
    <w:rsid w:val="00372661"/>
    <w:rsid w:val="00374CFA"/>
    <w:rsid w:val="003843F7"/>
    <w:rsid w:val="00390DEF"/>
    <w:rsid w:val="00392E25"/>
    <w:rsid w:val="0039349F"/>
    <w:rsid w:val="003A0434"/>
    <w:rsid w:val="003A057A"/>
    <w:rsid w:val="003A2DF5"/>
    <w:rsid w:val="003A6F18"/>
    <w:rsid w:val="003B20BB"/>
    <w:rsid w:val="003B4958"/>
    <w:rsid w:val="003B7479"/>
    <w:rsid w:val="003C0A44"/>
    <w:rsid w:val="003C5F21"/>
    <w:rsid w:val="003D55F3"/>
    <w:rsid w:val="003D744D"/>
    <w:rsid w:val="003E56DE"/>
    <w:rsid w:val="00401345"/>
    <w:rsid w:val="00404663"/>
    <w:rsid w:val="00420855"/>
    <w:rsid w:val="00424813"/>
    <w:rsid w:val="00432539"/>
    <w:rsid w:val="00432838"/>
    <w:rsid w:val="00451611"/>
    <w:rsid w:val="0047756A"/>
    <w:rsid w:val="00480427"/>
    <w:rsid w:val="004937EA"/>
    <w:rsid w:val="00494393"/>
    <w:rsid w:val="00494F22"/>
    <w:rsid w:val="00495611"/>
    <w:rsid w:val="00495CEB"/>
    <w:rsid w:val="00496B7C"/>
    <w:rsid w:val="004974DC"/>
    <w:rsid w:val="004A35D2"/>
    <w:rsid w:val="004A4265"/>
    <w:rsid w:val="004A7AF2"/>
    <w:rsid w:val="004B1819"/>
    <w:rsid w:val="004B26B6"/>
    <w:rsid w:val="004B7044"/>
    <w:rsid w:val="004C001F"/>
    <w:rsid w:val="004C1300"/>
    <w:rsid w:val="004C13EB"/>
    <w:rsid w:val="004D5B4E"/>
    <w:rsid w:val="004E4A64"/>
    <w:rsid w:val="004F068A"/>
    <w:rsid w:val="004F1BCB"/>
    <w:rsid w:val="004F3DF3"/>
    <w:rsid w:val="004F65A4"/>
    <w:rsid w:val="00502D5F"/>
    <w:rsid w:val="00511219"/>
    <w:rsid w:val="00521104"/>
    <w:rsid w:val="0052193A"/>
    <w:rsid w:val="00523976"/>
    <w:rsid w:val="0054046E"/>
    <w:rsid w:val="00556950"/>
    <w:rsid w:val="00563E46"/>
    <w:rsid w:val="00567364"/>
    <w:rsid w:val="0056795C"/>
    <w:rsid w:val="00570A8A"/>
    <w:rsid w:val="00577C4A"/>
    <w:rsid w:val="00577F81"/>
    <w:rsid w:val="00581B86"/>
    <w:rsid w:val="00591F1A"/>
    <w:rsid w:val="00593810"/>
    <w:rsid w:val="00594E25"/>
    <w:rsid w:val="005B1D55"/>
    <w:rsid w:val="005B5A00"/>
    <w:rsid w:val="005C4D0C"/>
    <w:rsid w:val="005D1138"/>
    <w:rsid w:val="005D30D9"/>
    <w:rsid w:val="005D3130"/>
    <w:rsid w:val="005E5446"/>
    <w:rsid w:val="00600B18"/>
    <w:rsid w:val="0060297E"/>
    <w:rsid w:val="00604D0D"/>
    <w:rsid w:val="00622C51"/>
    <w:rsid w:val="0064056E"/>
    <w:rsid w:val="00647DE6"/>
    <w:rsid w:val="00662E14"/>
    <w:rsid w:val="00666AC4"/>
    <w:rsid w:val="0067124D"/>
    <w:rsid w:val="00672799"/>
    <w:rsid w:val="00680781"/>
    <w:rsid w:val="006A1CD6"/>
    <w:rsid w:val="006A3237"/>
    <w:rsid w:val="006B1909"/>
    <w:rsid w:val="006B49B5"/>
    <w:rsid w:val="006B7E0B"/>
    <w:rsid w:val="006C3CD3"/>
    <w:rsid w:val="006C7564"/>
    <w:rsid w:val="006D316C"/>
    <w:rsid w:val="006D6D49"/>
    <w:rsid w:val="006D7F65"/>
    <w:rsid w:val="006E2ECD"/>
    <w:rsid w:val="006E4974"/>
    <w:rsid w:val="006E4BF1"/>
    <w:rsid w:val="006E68B0"/>
    <w:rsid w:val="006F5265"/>
    <w:rsid w:val="006F5EEE"/>
    <w:rsid w:val="00700744"/>
    <w:rsid w:val="0071044E"/>
    <w:rsid w:val="00730F26"/>
    <w:rsid w:val="0073591F"/>
    <w:rsid w:val="007541DA"/>
    <w:rsid w:val="007656BD"/>
    <w:rsid w:val="007728F4"/>
    <w:rsid w:val="007740BF"/>
    <w:rsid w:val="00782324"/>
    <w:rsid w:val="007829BC"/>
    <w:rsid w:val="0079641C"/>
    <w:rsid w:val="007A6652"/>
    <w:rsid w:val="007B2A55"/>
    <w:rsid w:val="007B5898"/>
    <w:rsid w:val="007C1DF1"/>
    <w:rsid w:val="007C2AA9"/>
    <w:rsid w:val="007C788C"/>
    <w:rsid w:val="007E6790"/>
    <w:rsid w:val="007F7E98"/>
    <w:rsid w:val="00804322"/>
    <w:rsid w:val="008043D9"/>
    <w:rsid w:val="0081135D"/>
    <w:rsid w:val="008122D8"/>
    <w:rsid w:val="00812F5C"/>
    <w:rsid w:val="00816A81"/>
    <w:rsid w:val="00820FF9"/>
    <w:rsid w:val="0083027D"/>
    <w:rsid w:val="00830E30"/>
    <w:rsid w:val="00833702"/>
    <w:rsid w:val="00833DBE"/>
    <w:rsid w:val="00850CE1"/>
    <w:rsid w:val="00852299"/>
    <w:rsid w:val="00860A29"/>
    <w:rsid w:val="00874331"/>
    <w:rsid w:val="00891536"/>
    <w:rsid w:val="0089458A"/>
    <w:rsid w:val="00894D24"/>
    <w:rsid w:val="00897148"/>
    <w:rsid w:val="008A1D83"/>
    <w:rsid w:val="008B72D5"/>
    <w:rsid w:val="008C14BF"/>
    <w:rsid w:val="008C243B"/>
    <w:rsid w:val="008C7AD8"/>
    <w:rsid w:val="008D01B3"/>
    <w:rsid w:val="008D1622"/>
    <w:rsid w:val="008D6560"/>
    <w:rsid w:val="008E07B1"/>
    <w:rsid w:val="008E289A"/>
    <w:rsid w:val="008E4459"/>
    <w:rsid w:val="008E7D16"/>
    <w:rsid w:val="0090004A"/>
    <w:rsid w:val="009239CB"/>
    <w:rsid w:val="00923B00"/>
    <w:rsid w:val="009242BF"/>
    <w:rsid w:val="00926E26"/>
    <w:rsid w:val="00943D7C"/>
    <w:rsid w:val="00944A2D"/>
    <w:rsid w:val="00951DEF"/>
    <w:rsid w:val="00952BFE"/>
    <w:rsid w:val="009821A1"/>
    <w:rsid w:val="00987FE0"/>
    <w:rsid w:val="009A520C"/>
    <w:rsid w:val="009B7A51"/>
    <w:rsid w:val="00A216E6"/>
    <w:rsid w:val="00A330EC"/>
    <w:rsid w:val="00A34341"/>
    <w:rsid w:val="00A35A79"/>
    <w:rsid w:val="00A46E26"/>
    <w:rsid w:val="00A503E7"/>
    <w:rsid w:val="00A52337"/>
    <w:rsid w:val="00A52801"/>
    <w:rsid w:val="00A6267D"/>
    <w:rsid w:val="00A66C10"/>
    <w:rsid w:val="00A727EB"/>
    <w:rsid w:val="00A87DCF"/>
    <w:rsid w:val="00A90D9E"/>
    <w:rsid w:val="00A96CAF"/>
    <w:rsid w:val="00AB0663"/>
    <w:rsid w:val="00AC3C61"/>
    <w:rsid w:val="00AC4D42"/>
    <w:rsid w:val="00AE549A"/>
    <w:rsid w:val="00AF3ED1"/>
    <w:rsid w:val="00B02CB9"/>
    <w:rsid w:val="00B03B50"/>
    <w:rsid w:val="00B10D6F"/>
    <w:rsid w:val="00B1282C"/>
    <w:rsid w:val="00B20C5F"/>
    <w:rsid w:val="00B21967"/>
    <w:rsid w:val="00B33D4E"/>
    <w:rsid w:val="00B61D47"/>
    <w:rsid w:val="00B63960"/>
    <w:rsid w:val="00B94299"/>
    <w:rsid w:val="00B95A06"/>
    <w:rsid w:val="00BA362F"/>
    <w:rsid w:val="00BA4FA7"/>
    <w:rsid w:val="00BA58CE"/>
    <w:rsid w:val="00BA7185"/>
    <w:rsid w:val="00BB6662"/>
    <w:rsid w:val="00BC333E"/>
    <w:rsid w:val="00BE56FB"/>
    <w:rsid w:val="00BE716F"/>
    <w:rsid w:val="00C024EB"/>
    <w:rsid w:val="00C10FCD"/>
    <w:rsid w:val="00C16E8B"/>
    <w:rsid w:val="00C33C76"/>
    <w:rsid w:val="00C34784"/>
    <w:rsid w:val="00C40EE7"/>
    <w:rsid w:val="00C435CB"/>
    <w:rsid w:val="00C436B8"/>
    <w:rsid w:val="00C437E8"/>
    <w:rsid w:val="00C831C5"/>
    <w:rsid w:val="00C83F94"/>
    <w:rsid w:val="00CA2F8F"/>
    <w:rsid w:val="00CA7ADA"/>
    <w:rsid w:val="00CB5AAE"/>
    <w:rsid w:val="00CB6DF5"/>
    <w:rsid w:val="00CD03AD"/>
    <w:rsid w:val="00CE3259"/>
    <w:rsid w:val="00CE7EF9"/>
    <w:rsid w:val="00CF1B5A"/>
    <w:rsid w:val="00D05ED0"/>
    <w:rsid w:val="00D12D03"/>
    <w:rsid w:val="00D137BC"/>
    <w:rsid w:val="00D15C54"/>
    <w:rsid w:val="00D23117"/>
    <w:rsid w:val="00D32932"/>
    <w:rsid w:val="00D43363"/>
    <w:rsid w:val="00D4466F"/>
    <w:rsid w:val="00D46069"/>
    <w:rsid w:val="00D53D97"/>
    <w:rsid w:val="00D609B7"/>
    <w:rsid w:val="00D6792C"/>
    <w:rsid w:val="00D8037E"/>
    <w:rsid w:val="00D8505C"/>
    <w:rsid w:val="00D90D0F"/>
    <w:rsid w:val="00D932D1"/>
    <w:rsid w:val="00D94E32"/>
    <w:rsid w:val="00DA0C53"/>
    <w:rsid w:val="00DA0CAA"/>
    <w:rsid w:val="00DA0DAF"/>
    <w:rsid w:val="00DA458E"/>
    <w:rsid w:val="00DA6E83"/>
    <w:rsid w:val="00DB07BB"/>
    <w:rsid w:val="00DB4D56"/>
    <w:rsid w:val="00DB68B2"/>
    <w:rsid w:val="00DB7F31"/>
    <w:rsid w:val="00DC0C6B"/>
    <w:rsid w:val="00DC2741"/>
    <w:rsid w:val="00DC3D97"/>
    <w:rsid w:val="00DC6FBB"/>
    <w:rsid w:val="00DC798D"/>
    <w:rsid w:val="00DF0DA6"/>
    <w:rsid w:val="00DF3140"/>
    <w:rsid w:val="00E0486A"/>
    <w:rsid w:val="00E133A9"/>
    <w:rsid w:val="00E20A7D"/>
    <w:rsid w:val="00E20E6F"/>
    <w:rsid w:val="00E2165D"/>
    <w:rsid w:val="00E21F3E"/>
    <w:rsid w:val="00E31EE0"/>
    <w:rsid w:val="00E33EBB"/>
    <w:rsid w:val="00E36AE5"/>
    <w:rsid w:val="00E371FE"/>
    <w:rsid w:val="00E3795E"/>
    <w:rsid w:val="00E37B7D"/>
    <w:rsid w:val="00E57174"/>
    <w:rsid w:val="00E57C5A"/>
    <w:rsid w:val="00E607D3"/>
    <w:rsid w:val="00E72785"/>
    <w:rsid w:val="00E776E0"/>
    <w:rsid w:val="00E818D0"/>
    <w:rsid w:val="00E913EB"/>
    <w:rsid w:val="00E964EF"/>
    <w:rsid w:val="00EC06E8"/>
    <w:rsid w:val="00EC1762"/>
    <w:rsid w:val="00EC2B0B"/>
    <w:rsid w:val="00EC2B30"/>
    <w:rsid w:val="00ED5B3D"/>
    <w:rsid w:val="00EE543C"/>
    <w:rsid w:val="00EF42A2"/>
    <w:rsid w:val="00F0089D"/>
    <w:rsid w:val="00F12D91"/>
    <w:rsid w:val="00F16FEE"/>
    <w:rsid w:val="00F2113A"/>
    <w:rsid w:val="00F2137C"/>
    <w:rsid w:val="00F367A0"/>
    <w:rsid w:val="00F4533D"/>
    <w:rsid w:val="00F51FB3"/>
    <w:rsid w:val="00F7035B"/>
    <w:rsid w:val="00F754BD"/>
    <w:rsid w:val="00F77A8C"/>
    <w:rsid w:val="00F950F8"/>
    <w:rsid w:val="00FA0A5A"/>
    <w:rsid w:val="00FB158E"/>
    <w:rsid w:val="00FC056A"/>
    <w:rsid w:val="00FD0777"/>
    <w:rsid w:val="00FD6C1F"/>
    <w:rsid w:val="00FD729D"/>
    <w:rsid w:val="00FF4DA0"/>
    <w:rsid w:val="05532A0D"/>
    <w:rsid w:val="14B962E5"/>
    <w:rsid w:val="189C68A9"/>
    <w:rsid w:val="1AA05907"/>
    <w:rsid w:val="1AA556D9"/>
    <w:rsid w:val="1E107DD1"/>
    <w:rsid w:val="2BC2096A"/>
    <w:rsid w:val="2C35005E"/>
    <w:rsid w:val="2CB847EB"/>
    <w:rsid w:val="2E112405"/>
    <w:rsid w:val="2E5859B2"/>
    <w:rsid w:val="2FC73D1B"/>
    <w:rsid w:val="3171432E"/>
    <w:rsid w:val="33EF31E8"/>
    <w:rsid w:val="35610116"/>
    <w:rsid w:val="3B007A89"/>
    <w:rsid w:val="3EBF7D18"/>
    <w:rsid w:val="3FEC3BE7"/>
    <w:rsid w:val="43D62EB7"/>
    <w:rsid w:val="49290AF3"/>
    <w:rsid w:val="4B911B6E"/>
    <w:rsid w:val="4F26BFFF"/>
    <w:rsid w:val="54A35BFD"/>
    <w:rsid w:val="55ED6C72"/>
    <w:rsid w:val="5B131D9A"/>
    <w:rsid w:val="5B7DD0CF"/>
    <w:rsid w:val="72BA4DCB"/>
    <w:rsid w:val="79111DCE"/>
    <w:rsid w:val="795D3D1D"/>
    <w:rsid w:val="7CF33AE1"/>
    <w:rsid w:val="EEF627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Balloon Text"/>
    <w:basedOn w:val="1"/>
    <w:link w:val="8"/>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link w:val="3"/>
    <w:semiHidden/>
    <w:qFormat/>
    <w:locked/>
    <w:uiPriority w:val="99"/>
    <w:rPr>
      <w:rFonts w:ascii="Calibri" w:hAnsi="Calibri" w:eastAsia="宋体" w:cs="Times New Roman"/>
      <w:sz w:val="18"/>
      <w:szCs w:val="18"/>
    </w:rPr>
  </w:style>
  <w:style w:type="character" w:customStyle="1" w:styleId="9">
    <w:name w:val="页脚 Char"/>
    <w:link w:val="4"/>
    <w:qFormat/>
    <w:locked/>
    <w:uiPriority w:val="99"/>
    <w:rPr>
      <w:rFonts w:ascii="Calibri" w:hAnsi="Calibri" w:eastAsia="宋体" w:cs="Times New Roman"/>
      <w:sz w:val="18"/>
      <w:szCs w:val="18"/>
    </w:rPr>
  </w:style>
  <w:style w:type="character" w:customStyle="1" w:styleId="10">
    <w:name w:val="页眉 Char"/>
    <w:link w:val="5"/>
    <w:qFormat/>
    <w:locked/>
    <w:uiPriority w:val="99"/>
    <w:rPr>
      <w:rFonts w:ascii="Calibri" w:hAnsi="Calibri" w:eastAsia="宋体" w:cs="Times New Roman"/>
      <w:sz w:val="18"/>
      <w:szCs w:val="18"/>
    </w:rPr>
  </w:style>
  <w:style w:type="character" w:customStyle="1" w:styleId="11">
    <w:name w:val="纯文本 Char"/>
    <w:link w:val="2"/>
    <w:semiHidden/>
    <w:qFormat/>
    <w:locked/>
    <w:uiPriority w:val="99"/>
    <w:rPr>
      <w:rFonts w:ascii="宋体" w:hAnsi="Courier New" w:cs="Courier New"/>
      <w:sz w:val="21"/>
      <w:szCs w:val="21"/>
    </w:rPr>
  </w:style>
  <w:style w:type="character" w:customStyle="1" w:styleId="12">
    <w:name w:val="font01"/>
    <w:basedOn w:val="7"/>
    <w:uiPriority w:val="0"/>
    <w:rPr>
      <w:rFonts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29</Pages>
  <Words>1241</Words>
  <Characters>7074</Characters>
  <Lines>58</Lines>
  <Paragraphs>16</Paragraphs>
  <TotalTime>6</TotalTime>
  <ScaleCrop>false</ScaleCrop>
  <LinksUpToDate>false</LinksUpToDate>
  <CharactersWithSpaces>8299</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2019-06-11T08:19:00Z</dcterms:created>
  <dc:creator>lenovo</dc:creator>
  <cp:lastModifiedBy>sugon</cp:lastModifiedBy>
  <cp:lastPrinted>2021-04-16T15:34:00Z</cp:lastPrinted>
  <dcterms:modified xsi:type="dcterms:W3CDTF">2024-03-21T15:10:29Z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97D0D5BCA2FF4A6CBD5543D35C04A45B</vt:lpwstr>
  </property>
</Properties>
</file>