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楷体" w:hAnsi="楷体" w:eastAsia="楷体" w:cs="楷体"/>
          <w:spacing w:val="-8"/>
          <w:sz w:val="32"/>
          <w:szCs w:val="32"/>
          <w:highlight w:val="yellow"/>
          <w:lang w:eastAsia="zh-CN"/>
        </w:rPr>
      </w:pPr>
      <w:r>
        <w:rPr>
          <w:rFonts w:hint="eastAsia" w:ascii="楷体" w:hAnsi="楷体" w:eastAsia="楷体" w:cs="楷体"/>
          <w:sz w:val="32"/>
          <w:szCs w:val="32"/>
          <w:highlight w:val="none"/>
          <w:lang w:val="en-US" w:eastAsia="zh-CN"/>
        </w:rPr>
        <w:t>区人大常委会会议材料（13）</w:t>
      </w:r>
    </w:p>
    <w:p>
      <w:pPr>
        <w:spacing w:line="560" w:lineRule="exact"/>
        <w:jc w:val="center"/>
        <w:rPr>
          <w:rFonts w:asciiTheme="minorEastAsia" w:hAnsiTheme="minorEastAsia" w:eastAsiaTheme="minorEastAsia" w:cstheme="minorEastAsia"/>
          <w:color w:val="000000" w:themeColor="text1"/>
          <w:spacing w:val="-17"/>
          <w:sz w:val="32"/>
          <w:szCs w:val="32"/>
          <w:highlight w:val="yellow"/>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color w:val="000000" w:themeColor="text1"/>
          <w:spacing w:val="-17"/>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pacing w:val="-17"/>
          <w:sz w:val="44"/>
          <w:szCs w:val="44"/>
          <w:highlight w:val="none"/>
          <w14:textFill>
            <w14:solidFill>
              <w14:schemeClr w14:val="tx1"/>
            </w14:solidFill>
          </w14:textFill>
        </w:rPr>
        <w:t>关于安阳市龙安区202</w:t>
      </w:r>
      <w:r>
        <w:rPr>
          <w:rFonts w:hint="eastAsia" w:ascii="方正小标宋简体" w:hAnsi="方正小标宋简体" w:eastAsia="方正小标宋简体" w:cs="方正小标宋简体"/>
          <w:color w:val="000000" w:themeColor="text1"/>
          <w:spacing w:val="-17"/>
          <w:sz w:val="44"/>
          <w:szCs w:val="44"/>
          <w:highlight w:val="none"/>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pacing w:val="-17"/>
          <w:sz w:val="44"/>
          <w:szCs w:val="44"/>
          <w:highlight w:val="none"/>
          <w14:textFill>
            <w14:solidFill>
              <w14:schemeClr w14:val="tx1"/>
            </w14:solidFill>
          </w14:textFill>
        </w:rPr>
        <w:t>年财政预算执行情况和202</w:t>
      </w:r>
      <w:r>
        <w:rPr>
          <w:rFonts w:hint="eastAsia" w:ascii="方正小标宋简体" w:hAnsi="方正小标宋简体" w:eastAsia="方正小标宋简体" w:cs="方正小标宋简体"/>
          <w:color w:val="000000" w:themeColor="text1"/>
          <w:spacing w:val="-17"/>
          <w:sz w:val="44"/>
          <w:szCs w:val="44"/>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pacing w:val="-17"/>
          <w:sz w:val="44"/>
          <w:szCs w:val="44"/>
          <w:highlight w:val="none"/>
          <w14:textFill>
            <w14:solidFill>
              <w14:schemeClr w14:val="tx1"/>
            </w14:solidFill>
          </w14:textFill>
        </w:rPr>
        <w:t>年财政预算（草案）的报告</w:t>
      </w: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val="0"/>
          <w:bCs w:val="0"/>
        </w:rPr>
      </w:pPr>
    </w:p>
    <w:p>
      <w:pPr>
        <w:keepNext w:val="0"/>
        <w:keepLines w:val="0"/>
        <w:pageBreakBefore w:val="0"/>
        <w:widowControl w:val="0"/>
        <w:tabs>
          <w:tab w:val="left" w:pos="840"/>
        </w:tabs>
        <w:kinsoku/>
        <w:wordWrap/>
        <w:overflowPunct/>
        <w:topLinePunct w:val="0"/>
        <w:autoSpaceDE/>
        <w:autoSpaceDN/>
        <w:bidi w:val="0"/>
        <w:adjustRightInd/>
        <w:snapToGrid/>
        <w:spacing w:line="580" w:lineRule="exact"/>
        <w:ind w:left="0" w:leftChars="0"/>
        <w:jc w:val="center"/>
        <w:textAlignment w:val="auto"/>
        <w:rPr>
          <w:rFonts w:hint="eastAsia" w:ascii="楷体" w:hAnsi="楷体" w:eastAsia="楷体" w:cs="楷体"/>
          <w:color w:val="000000"/>
          <w:w w:val="90"/>
          <w:sz w:val="30"/>
          <w:szCs w:val="30"/>
        </w:rPr>
      </w:pPr>
      <w:r>
        <w:rPr>
          <w:rFonts w:hint="eastAsia" w:ascii="楷体" w:hAnsi="楷体" w:eastAsia="楷体" w:cs="楷体"/>
          <w:color w:val="000000"/>
          <w:w w:val="90"/>
          <w:sz w:val="30"/>
          <w:szCs w:val="30"/>
        </w:rPr>
        <w:t>202</w:t>
      </w:r>
      <w:r>
        <w:rPr>
          <w:rFonts w:hint="eastAsia" w:ascii="楷体" w:hAnsi="楷体" w:eastAsia="楷体" w:cs="楷体"/>
          <w:color w:val="000000"/>
          <w:w w:val="90"/>
          <w:sz w:val="30"/>
          <w:szCs w:val="30"/>
          <w:lang w:val="en-US" w:eastAsia="zh-CN"/>
        </w:rPr>
        <w:t>4</w:t>
      </w:r>
      <w:r>
        <w:rPr>
          <w:rFonts w:hint="eastAsia" w:ascii="楷体" w:hAnsi="楷体" w:eastAsia="楷体" w:cs="楷体"/>
          <w:color w:val="000000"/>
          <w:w w:val="90"/>
          <w:sz w:val="30"/>
          <w:szCs w:val="30"/>
        </w:rPr>
        <w:t>年</w:t>
      </w:r>
      <w:r>
        <w:rPr>
          <w:rFonts w:hint="eastAsia" w:ascii="楷体" w:hAnsi="楷体" w:eastAsia="楷体" w:cs="楷体"/>
          <w:color w:val="000000"/>
          <w:w w:val="90"/>
          <w:sz w:val="30"/>
          <w:szCs w:val="30"/>
          <w:lang w:val="en-US" w:eastAsia="zh-CN"/>
        </w:rPr>
        <w:t>2</w:t>
      </w:r>
      <w:r>
        <w:rPr>
          <w:rFonts w:hint="eastAsia" w:ascii="楷体" w:hAnsi="楷体" w:eastAsia="楷体" w:cs="楷体"/>
          <w:color w:val="000000"/>
          <w:w w:val="90"/>
          <w:sz w:val="30"/>
          <w:szCs w:val="30"/>
        </w:rPr>
        <w:t>月</w:t>
      </w:r>
      <w:r>
        <w:rPr>
          <w:rFonts w:hint="eastAsia" w:ascii="楷体" w:hAnsi="楷体" w:eastAsia="楷体" w:cs="楷体"/>
          <w:color w:val="000000"/>
          <w:w w:val="90"/>
          <w:sz w:val="30"/>
          <w:szCs w:val="30"/>
          <w:lang w:val="en-US" w:eastAsia="zh-CN"/>
        </w:rPr>
        <w:t>18</w:t>
      </w:r>
      <w:r>
        <w:rPr>
          <w:rFonts w:hint="eastAsia" w:ascii="楷体" w:hAnsi="楷体" w:eastAsia="楷体" w:cs="楷体"/>
          <w:color w:val="000000"/>
          <w:w w:val="90"/>
          <w:sz w:val="30"/>
          <w:szCs w:val="30"/>
        </w:rPr>
        <w:t>日在安阳市龙安区第五届人</w:t>
      </w:r>
      <w:r>
        <w:rPr>
          <w:rFonts w:hint="eastAsia" w:ascii="楷体" w:hAnsi="楷体" w:eastAsia="楷体" w:cs="楷体"/>
          <w:color w:val="000000"/>
          <w:w w:val="90"/>
          <w:sz w:val="30"/>
          <w:szCs w:val="30"/>
          <w:lang w:val="en-US" w:eastAsia="zh-CN"/>
        </w:rPr>
        <w:t>民</w:t>
      </w:r>
      <w:r>
        <w:rPr>
          <w:rFonts w:hint="eastAsia" w:ascii="楷体" w:hAnsi="楷体" w:eastAsia="楷体" w:cs="楷体"/>
          <w:color w:val="000000"/>
          <w:w w:val="90"/>
          <w:sz w:val="30"/>
          <w:szCs w:val="30"/>
        </w:rPr>
        <w:t>代表大会常务委员会</w:t>
      </w:r>
    </w:p>
    <w:p>
      <w:pPr>
        <w:keepNext w:val="0"/>
        <w:keepLines w:val="0"/>
        <w:pageBreakBefore w:val="0"/>
        <w:widowControl w:val="0"/>
        <w:tabs>
          <w:tab w:val="left" w:pos="840"/>
        </w:tabs>
        <w:kinsoku/>
        <w:wordWrap/>
        <w:overflowPunct/>
        <w:topLinePunct w:val="0"/>
        <w:autoSpaceDE/>
        <w:autoSpaceDN/>
        <w:bidi w:val="0"/>
        <w:adjustRightInd/>
        <w:snapToGrid/>
        <w:spacing w:line="580" w:lineRule="exact"/>
        <w:ind w:left="0" w:leftChars="0"/>
        <w:jc w:val="center"/>
        <w:textAlignment w:val="auto"/>
        <w:rPr>
          <w:rFonts w:hint="eastAsia" w:ascii="楷体" w:hAnsi="楷体" w:eastAsia="楷体" w:cs="楷体"/>
          <w:color w:val="000000" w:themeColor="text1"/>
          <w:sz w:val="30"/>
          <w:szCs w:val="30"/>
          <w:highlight w:val="none"/>
          <w:lang w:eastAsia="zh-CN"/>
          <w14:textFill>
            <w14:solidFill>
              <w14:schemeClr w14:val="tx1"/>
            </w14:solidFill>
          </w14:textFill>
        </w:rPr>
      </w:pPr>
      <w:r>
        <w:rPr>
          <w:rFonts w:hint="eastAsia" w:ascii="楷体" w:hAnsi="楷体" w:eastAsia="楷体" w:cs="楷体"/>
          <w:color w:val="000000"/>
          <w:w w:val="90"/>
          <w:sz w:val="30"/>
          <w:szCs w:val="30"/>
        </w:rPr>
        <w:t>第</w:t>
      </w:r>
      <w:r>
        <w:rPr>
          <w:rFonts w:hint="eastAsia" w:ascii="楷体" w:hAnsi="楷体" w:eastAsia="楷体" w:cs="楷体"/>
          <w:color w:val="000000"/>
          <w:w w:val="90"/>
          <w:sz w:val="30"/>
          <w:szCs w:val="30"/>
          <w:lang w:val="en-US" w:eastAsia="zh-CN"/>
        </w:rPr>
        <w:t>十六</w:t>
      </w:r>
      <w:r>
        <w:rPr>
          <w:rFonts w:hint="eastAsia" w:ascii="楷体" w:hAnsi="楷体" w:eastAsia="楷体" w:cs="楷体"/>
          <w:color w:val="000000"/>
          <w:w w:val="90"/>
          <w:sz w:val="30"/>
          <w:szCs w:val="30"/>
        </w:rPr>
        <w:t>次会议</w:t>
      </w:r>
      <w:r>
        <w:rPr>
          <w:rFonts w:hint="eastAsia" w:ascii="楷体" w:hAnsi="楷体" w:eastAsia="楷体" w:cs="楷体"/>
          <w:color w:val="000000"/>
          <w:w w:val="90"/>
          <w:sz w:val="30"/>
          <w:szCs w:val="30"/>
          <w:lang w:eastAsia="zh-CN"/>
        </w:rPr>
        <w:t>上</w:t>
      </w:r>
    </w:p>
    <w:p>
      <w:pPr>
        <w:keepNext w:val="0"/>
        <w:keepLines w:val="0"/>
        <w:pageBreakBefore w:val="0"/>
        <w:widowControl w:val="0"/>
        <w:tabs>
          <w:tab w:val="left" w:pos="840"/>
        </w:tabs>
        <w:kinsoku/>
        <w:wordWrap/>
        <w:overflowPunct/>
        <w:topLinePunct w:val="0"/>
        <w:autoSpaceDE/>
        <w:autoSpaceDN/>
        <w:bidi w:val="0"/>
        <w:adjustRightInd/>
        <w:snapToGrid/>
        <w:spacing w:line="580" w:lineRule="exact"/>
        <w:jc w:val="center"/>
        <w:textAlignment w:val="auto"/>
        <w:rPr>
          <w:rFonts w:hint="eastAsia" w:ascii="楷体" w:hAnsi="楷体" w:eastAsia="楷体" w:cs="楷体"/>
          <w:color w:val="000000" w:themeColor="text1"/>
          <w:sz w:val="30"/>
          <w:szCs w:val="30"/>
          <w:highlight w:val="none"/>
          <w:lang w:eastAsia="zh-CN"/>
          <w14:textFill>
            <w14:solidFill>
              <w14:schemeClr w14:val="tx1"/>
            </w14:solidFill>
          </w14:textFill>
        </w:rPr>
      </w:pPr>
      <w:r>
        <w:rPr>
          <w:rFonts w:hint="eastAsia" w:ascii="楷体" w:hAnsi="楷体" w:eastAsia="楷体" w:cs="楷体"/>
          <w:color w:val="000000" w:themeColor="text1"/>
          <w:sz w:val="30"/>
          <w:szCs w:val="30"/>
          <w:highlight w:val="none"/>
          <w14:textFill>
            <w14:solidFill>
              <w14:schemeClr w14:val="tx1"/>
            </w14:solidFill>
          </w14:textFill>
        </w:rPr>
        <w:t xml:space="preserve">龙安区财政局局长  </w:t>
      </w:r>
      <w:r>
        <w:rPr>
          <w:rFonts w:hint="eastAsia" w:ascii="楷体" w:hAnsi="楷体" w:eastAsia="楷体" w:cs="楷体"/>
          <w:color w:val="000000" w:themeColor="text1"/>
          <w:sz w:val="30"/>
          <w:szCs w:val="30"/>
          <w:highlight w:val="none"/>
          <w:lang w:val="en-US" w:eastAsia="zh-CN"/>
          <w14:textFill>
            <w14:solidFill>
              <w14:schemeClr w14:val="tx1"/>
            </w14:solidFill>
          </w14:textFill>
        </w:rPr>
        <w:t>李俊生</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 w:hAnsi="仿宋" w:eastAsia="仿宋_GB2312"/>
          <w:color w:val="000000" w:themeColor="text1"/>
          <w:sz w:val="32"/>
          <w:szCs w:val="32"/>
          <w:highlight w:val="yellow"/>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主任、各位副主任，各位委员：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受区政府委托，现将我区202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年财政预算执行情况和202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年财政预算（草案）</w:t>
      </w:r>
      <w:r>
        <w:rPr>
          <w:rFonts w:hint="eastAsia" w:ascii="仿宋_GB2312" w:hAnsi="仿宋_GB2312" w:eastAsia="仿宋_GB2312" w:cs="仿宋_GB2312"/>
          <w:kern w:val="10"/>
          <w:sz w:val="32"/>
          <w:szCs w:val="32"/>
          <w:highlight w:val="none"/>
        </w:rPr>
        <w:t>提请区</w:t>
      </w:r>
      <w:r>
        <w:rPr>
          <w:rFonts w:hint="eastAsia" w:ascii="仿宋_GB2312" w:hAnsi="仿宋_GB2312" w:eastAsia="仿宋_GB2312" w:cs="仿宋_GB2312"/>
          <w:kern w:val="10"/>
          <w:sz w:val="32"/>
          <w:szCs w:val="32"/>
          <w:highlight w:val="none"/>
          <w:lang w:eastAsia="zh-CN"/>
        </w:rPr>
        <w:t>五</w:t>
      </w:r>
      <w:r>
        <w:rPr>
          <w:rFonts w:hint="eastAsia" w:ascii="仿宋_GB2312" w:hAnsi="仿宋_GB2312" w:eastAsia="仿宋_GB2312" w:cs="仿宋_GB2312"/>
          <w:kern w:val="10"/>
          <w:sz w:val="32"/>
          <w:szCs w:val="32"/>
          <w:highlight w:val="none"/>
        </w:rPr>
        <w:t>届人大</w:t>
      </w:r>
      <w:r>
        <w:rPr>
          <w:rFonts w:hint="eastAsia" w:ascii="仿宋_GB2312" w:hAnsi="仿宋_GB2312" w:eastAsia="仿宋_GB2312" w:cs="仿宋_GB2312"/>
          <w:kern w:val="10"/>
          <w:sz w:val="32"/>
          <w:szCs w:val="32"/>
          <w:highlight w:val="none"/>
          <w:lang w:val="en-US" w:eastAsia="zh-CN"/>
        </w:rPr>
        <w:t>第十六</w:t>
      </w:r>
      <w:r>
        <w:rPr>
          <w:rFonts w:hint="eastAsia" w:ascii="仿宋_GB2312" w:hAnsi="仿宋_GB2312" w:eastAsia="仿宋_GB2312" w:cs="仿宋_GB2312"/>
          <w:kern w:val="10"/>
          <w:sz w:val="32"/>
          <w:szCs w:val="32"/>
          <w:highlight w:val="none"/>
        </w:rPr>
        <w:t>次会议审议，并请各位代表、各位委员和列席人员提出意见。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color w:val="000000" w:themeColor="text1"/>
          <w:kern w:val="10"/>
          <w:sz w:val="32"/>
          <w:szCs w:val="32"/>
          <w:highlight w:val="none"/>
          <w14:textFill>
            <w14:solidFill>
              <w14:schemeClr w14:val="tx1"/>
            </w14:solidFill>
          </w14:textFill>
        </w:rPr>
      </w:pPr>
      <w:r>
        <w:rPr>
          <w:rFonts w:hint="eastAsia" w:ascii="黑体" w:hAnsi="黑体" w:eastAsia="黑体" w:cs="黑体"/>
          <w:color w:val="000000" w:themeColor="text1"/>
          <w:kern w:val="10"/>
          <w:sz w:val="32"/>
          <w:szCs w:val="32"/>
          <w:highlight w:val="none"/>
          <w14:textFill>
            <w14:solidFill>
              <w14:schemeClr w14:val="tx1"/>
            </w14:solidFill>
          </w14:textFill>
        </w:rPr>
        <w:t>一、202</w:t>
      </w:r>
      <w:r>
        <w:rPr>
          <w:rFonts w:hint="eastAsia" w:ascii="黑体" w:hAnsi="黑体" w:eastAsia="黑体" w:cs="黑体"/>
          <w:color w:val="000000" w:themeColor="text1"/>
          <w:kern w:val="10"/>
          <w:sz w:val="32"/>
          <w:szCs w:val="32"/>
          <w:highlight w:val="none"/>
          <w:lang w:val="en-US" w:eastAsia="zh-CN"/>
          <w14:textFill>
            <w14:solidFill>
              <w14:schemeClr w14:val="tx1"/>
            </w14:solidFill>
          </w14:textFill>
        </w:rPr>
        <w:t>3</w:t>
      </w:r>
      <w:r>
        <w:rPr>
          <w:rFonts w:hint="eastAsia" w:ascii="黑体" w:hAnsi="黑体" w:eastAsia="黑体" w:cs="黑体"/>
          <w:color w:val="000000" w:themeColor="text1"/>
          <w:kern w:val="10"/>
          <w:sz w:val="32"/>
          <w:szCs w:val="32"/>
          <w:highlight w:val="none"/>
          <w14:textFill>
            <w14:solidFill>
              <w14:schemeClr w14:val="tx1"/>
            </w14:solidFill>
          </w14:textFill>
        </w:rPr>
        <w:t>年财政预算执行情况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（一）一般公共预算执行情况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1、一般公共预算收入执行情况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000000" w:themeColor="text1"/>
          <w:kern w:val="10"/>
          <w:sz w:val="32"/>
          <w:szCs w:val="32"/>
          <w:highlight w:val="yellow"/>
          <w:lang w:val="en-US"/>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年全区一般公共预算收入年初预算为</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128000</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万元，其中税收收入</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96000</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万元、非税收入</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320</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00万元。</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执行中</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rPr>
        <w:t>中央、省、市财政性转移支付政策、债券转贷</w:t>
      </w:r>
      <w:r>
        <w:rPr>
          <w:rFonts w:hint="eastAsia" w:ascii="仿宋_GB2312" w:hAnsi="仿宋_GB2312" w:eastAsia="仿宋_GB2312" w:cs="仿宋_GB2312"/>
          <w:color w:val="auto"/>
          <w:sz w:val="32"/>
          <w:szCs w:val="32"/>
          <w:highlight w:val="none"/>
          <w:lang w:eastAsia="zh-CN"/>
        </w:rPr>
        <w:t>、以及疫情后经济增长放缓</w:t>
      </w:r>
      <w:r>
        <w:rPr>
          <w:rFonts w:hint="eastAsia" w:ascii="仿宋_GB2312" w:hAnsi="仿宋_GB2312" w:eastAsia="仿宋_GB2312" w:cs="仿宋_GB2312"/>
          <w:color w:val="auto"/>
          <w:sz w:val="32"/>
          <w:szCs w:val="32"/>
          <w:highlight w:val="none"/>
        </w:rPr>
        <w:t>等因素</w:t>
      </w:r>
      <w:r>
        <w:rPr>
          <w:rFonts w:hint="eastAsia" w:ascii="仿宋_GB2312" w:hAnsi="仿宋_GB2312" w:eastAsia="仿宋_GB2312" w:cs="仿宋_GB2312"/>
          <w:color w:val="auto"/>
          <w:sz w:val="32"/>
          <w:szCs w:val="32"/>
          <w:highlight w:val="none"/>
          <w:lang w:val="en-US" w:eastAsia="zh-CN"/>
        </w:rPr>
        <w:t>，经五届人大常委会第十三次会议批准调整为121200万元。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10"/>
          <w:sz w:val="32"/>
          <w:szCs w:val="32"/>
          <w:highlight w:val="none"/>
          <w:u w:val="none"/>
        </w:rPr>
      </w:pPr>
      <w:r>
        <w:rPr>
          <w:rFonts w:hint="eastAsia" w:ascii="仿宋_GB2312" w:hAnsi="仿宋_GB2312" w:eastAsia="仿宋_GB2312" w:cs="仿宋_GB2312"/>
          <w:kern w:val="10"/>
          <w:sz w:val="32"/>
          <w:szCs w:val="32"/>
          <w:highlight w:val="none"/>
        </w:rPr>
        <w:t>202</w:t>
      </w:r>
      <w:r>
        <w:rPr>
          <w:rFonts w:hint="eastAsia" w:ascii="仿宋_GB2312" w:hAnsi="仿宋_GB2312" w:eastAsia="仿宋_GB2312" w:cs="仿宋_GB2312"/>
          <w:kern w:val="10"/>
          <w:sz w:val="32"/>
          <w:szCs w:val="32"/>
          <w:highlight w:val="none"/>
          <w:lang w:val="en-US" w:eastAsia="zh-CN"/>
        </w:rPr>
        <w:t>3</w:t>
      </w:r>
      <w:r>
        <w:rPr>
          <w:rFonts w:hint="eastAsia" w:ascii="仿宋_GB2312" w:hAnsi="仿宋_GB2312" w:eastAsia="仿宋_GB2312" w:cs="仿宋_GB2312"/>
          <w:kern w:val="10"/>
          <w:sz w:val="32"/>
          <w:szCs w:val="32"/>
          <w:highlight w:val="none"/>
        </w:rPr>
        <w:t>年全区一般公共预算收入实际完成1</w:t>
      </w:r>
      <w:r>
        <w:rPr>
          <w:rFonts w:hint="eastAsia" w:ascii="仿宋_GB2312" w:hAnsi="仿宋_GB2312" w:eastAsia="仿宋_GB2312" w:cs="仿宋_GB2312"/>
          <w:kern w:val="10"/>
          <w:sz w:val="32"/>
          <w:szCs w:val="32"/>
          <w:highlight w:val="none"/>
          <w:lang w:val="en-US" w:eastAsia="zh-CN"/>
        </w:rPr>
        <w:t>21958</w:t>
      </w:r>
      <w:r>
        <w:rPr>
          <w:rFonts w:hint="eastAsia" w:ascii="仿宋_GB2312" w:hAnsi="仿宋_GB2312" w:eastAsia="仿宋_GB2312" w:cs="仿宋_GB2312"/>
          <w:kern w:val="10"/>
          <w:sz w:val="32"/>
          <w:szCs w:val="32"/>
          <w:highlight w:val="none"/>
        </w:rPr>
        <w:t>万元，</w:t>
      </w:r>
      <w:r>
        <w:rPr>
          <w:rFonts w:hint="eastAsia" w:ascii="仿宋_GB2312" w:hAnsi="仿宋_GB2312" w:eastAsia="仿宋_GB2312" w:cs="仿宋_GB2312"/>
          <w:kern w:val="10"/>
          <w:sz w:val="32"/>
          <w:szCs w:val="32"/>
          <w:highlight w:val="none"/>
          <w:u w:val="none"/>
          <w:lang w:val="en-US" w:eastAsia="zh-CN"/>
        </w:rPr>
        <w:t>为调整预算的100.6%，</w:t>
      </w:r>
      <w:r>
        <w:rPr>
          <w:rFonts w:hint="eastAsia" w:ascii="仿宋_GB2312" w:hAnsi="仿宋_GB2312" w:eastAsia="仿宋_GB2312" w:cs="仿宋_GB2312"/>
          <w:kern w:val="10"/>
          <w:sz w:val="32"/>
          <w:szCs w:val="32"/>
          <w:highlight w:val="none"/>
          <w:u w:val="none"/>
        </w:rPr>
        <w:t>增长</w:t>
      </w:r>
      <w:r>
        <w:rPr>
          <w:rFonts w:hint="eastAsia" w:ascii="仿宋_GB2312" w:hAnsi="仿宋_GB2312" w:eastAsia="仿宋_GB2312" w:cs="仿宋_GB2312"/>
          <w:kern w:val="10"/>
          <w:sz w:val="32"/>
          <w:szCs w:val="32"/>
          <w:highlight w:val="none"/>
          <w:u w:val="none"/>
          <w:lang w:val="en-US" w:eastAsia="zh-CN"/>
        </w:rPr>
        <w:t>5.3</w:t>
      </w:r>
      <w:r>
        <w:rPr>
          <w:rFonts w:hint="eastAsia" w:ascii="仿宋_GB2312" w:hAnsi="仿宋_GB2312" w:eastAsia="仿宋_GB2312" w:cs="仿宋_GB2312"/>
          <w:kern w:val="10"/>
          <w:sz w:val="32"/>
          <w:szCs w:val="32"/>
          <w:highlight w:val="none"/>
          <w:u w:val="none"/>
        </w:rPr>
        <w:t>%。其中:税收收入完成84</w:t>
      </w:r>
      <w:r>
        <w:rPr>
          <w:rFonts w:hint="eastAsia" w:ascii="仿宋_GB2312" w:hAnsi="仿宋_GB2312" w:eastAsia="仿宋_GB2312" w:cs="仿宋_GB2312"/>
          <w:kern w:val="10"/>
          <w:sz w:val="32"/>
          <w:szCs w:val="32"/>
          <w:highlight w:val="none"/>
          <w:u w:val="none"/>
          <w:lang w:val="en-US" w:eastAsia="zh-CN"/>
        </w:rPr>
        <w:t>598</w:t>
      </w:r>
      <w:r>
        <w:rPr>
          <w:rFonts w:hint="eastAsia" w:ascii="仿宋_GB2312" w:hAnsi="仿宋_GB2312" w:eastAsia="仿宋_GB2312" w:cs="仿宋_GB2312"/>
          <w:kern w:val="10"/>
          <w:sz w:val="32"/>
          <w:szCs w:val="32"/>
          <w:highlight w:val="none"/>
          <w:u w:val="none"/>
        </w:rPr>
        <w:t>万元，非税收入完成3</w:t>
      </w:r>
      <w:r>
        <w:rPr>
          <w:rFonts w:hint="eastAsia" w:ascii="仿宋_GB2312" w:hAnsi="仿宋_GB2312" w:eastAsia="仿宋_GB2312" w:cs="仿宋_GB2312"/>
          <w:kern w:val="10"/>
          <w:sz w:val="32"/>
          <w:szCs w:val="32"/>
          <w:highlight w:val="none"/>
          <w:u w:val="none"/>
          <w:lang w:val="en-US" w:eastAsia="zh-CN"/>
        </w:rPr>
        <w:t>7360</w:t>
      </w:r>
      <w:r>
        <w:rPr>
          <w:rFonts w:hint="eastAsia" w:ascii="仿宋_GB2312" w:hAnsi="仿宋_GB2312" w:eastAsia="仿宋_GB2312" w:cs="仿宋_GB2312"/>
          <w:kern w:val="10"/>
          <w:sz w:val="32"/>
          <w:szCs w:val="32"/>
          <w:highlight w:val="none"/>
          <w:u w:val="none"/>
        </w:rPr>
        <w:t>万元。税收收入占一般公共预算收入的比重为</w:t>
      </w:r>
      <w:r>
        <w:rPr>
          <w:rFonts w:hint="eastAsia" w:ascii="仿宋_GB2312" w:hAnsi="仿宋_GB2312" w:eastAsia="仿宋_GB2312" w:cs="仿宋_GB2312"/>
          <w:kern w:val="10"/>
          <w:sz w:val="32"/>
          <w:szCs w:val="32"/>
          <w:highlight w:val="none"/>
          <w:u w:val="none"/>
          <w:lang w:val="en-US" w:eastAsia="zh-CN"/>
        </w:rPr>
        <w:t>70</w:t>
      </w:r>
      <w:r>
        <w:rPr>
          <w:rFonts w:hint="eastAsia" w:ascii="仿宋_GB2312" w:hAnsi="仿宋_GB2312" w:eastAsia="仿宋_GB2312" w:cs="仿宋_GB2312"/>
          <w:kern w:val="1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2、一般公共预算支出执行情况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年全区一般公共预算支出年初预算为</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213455</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执行中根据</w:t>
      </w:r>
      <w:r>
        <w:rPr>
          <w:rFonts w:hint="eastAsia" w:ascii="仿宋_GB2312" w:hAnsi="仿宋_GB2312" w:eastAsia="仿宋_GB2312" w:cs="仿宋_GB2312"/>
          <w:b w:val="0"/>
          <w:bCs/>
          <w:color w:val="auto"/>
          <w:sz w:val="32"/>
          <w:szCs w:val="32"/>
          <w:highlight w:val="none"/>
          <w:lang w:val="en-US" w:eastAsia="zh-CN"/>
        </w:rPr>
        <w:t>收入调整和上级转移支付等因素，</w:t>
      </w:r>
      <w:r>
        <w:rPr>
          <w:rFonts w:hint="eastAsia" w:ascii="仿宋_GB2312" w:hAnsi="仿宋_GB2312" w:eastAsia="仿宋_GB2312" w:cs="仿宋_GB2312"/>
          <w:color w:val="auto"/>
          <w:sz w:val="32"/>
          <w:szCs w:val="32"/>
          <w:highlight w:val="none"/>
          <w:lang w:val="en-US" w:eastAsia="zh-CN"/>
        </w:rPr>
        <w:t>经五届人大常委会第十三次会议批准调整为164029万元，</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实际完成</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160329</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功能分类支出主要是：</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一般公共服务支出43774万元、教育支出27291万元、科学技术支出3418万元、社会保障和就业支出16532万元、卫生健康支出13406万元、节能环保支出2306万元、城乡社区支出13938万元、农林水支出17896万元、自然资源海洋气象等支出3408万元、住房保障支出5052万元、债务付息支出1532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经济分类支出主要是：</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机关工资福利支出25878万元、机关商品和服务支出37695万元、机关资本性支出21146万元、对事业单位经常性补助33241万元、对事业单位资本性补助2206万元、对个人和家庭的补助16547万元、对社会保障基金补助5038万元、债务付息及费用支出15</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32</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根据现行市区财政体制测算，202</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年全区一般公共预算收入</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121958</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万元，加上级补助收入</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65609</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万元、转贷财政部代理发行地方政府</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一般</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债券收入</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9516</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万元（其中新增</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一般</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债券</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3516</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万元、再融资类</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一般</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债券6000万元）、上年结转结余</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25624</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万元、动用预算稳定调节基金</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3875</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万元，减上解支出</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52926</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万元、债务还本支出6</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280</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万元(其中自有财力偿还</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280</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万元、再融资</w:t>
      </w:r>
      <w:r>
        <w:rPr>
          <w:rFonts w:hint="eastAsia" w:ascii="仿宋_GB2312" w:hAnsi="仿宋_GB2312" w:eastAsia="仿宋_GB2312" w:cs="仿宋_GB2312"/>
          <w:b w:val="0"/>
          <w:bCs w:val="0"/>
          <w:color w:val="000000" w:themeColor="text1"/>
          <w:kern w:val="10"/>
          <w:sz w:val="32"/>
          <w:szCs w:val="32"/>
          <w:highlight w:val="none"/>
          <w:lang w:val="en-US" w:eastAsia="zh-CN"/>
          <w14:textFill>
            <w14:solidFill>
              <w14:schemeClr w14:val="tx1"/>
            </w14:solidFill>
          </w14:textFill>
        </w:rPr>
        <w:t>一般</w:t>
      </w:r>
      <w:r>
        <w:rPr>
          <w:rFonts w:hint="eastAsia" w:ascii="仿宋_GB2312" w:hAnsi="仿宋_GB2312" w:eastAsia="仿宋_GB2312" w:cs="仿宋_GB2312"/>
          <w:b w:val="0"/>
          <w:bCs w:val="0"/>
          <w:color w:val="000000" w:themeColor="text1"/>
          <w:kern w:val="10"/>
          <w:sz w:val="32"/>
          <w:szCs w:val="32"/>
          <w:highlight w:val="none"/>
          <w14:textFill>
            <w14:solidFill>
              <w14:schemeClr w14:val="tx1"/>
            </w14:solidFill>
          </w14:textFill>
        </w:rPr>
        <w:t>债券还本支出6000万元）</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、结转下年支出</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4586</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万元、安排预算稳定调节基金</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2462</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全区一般公共预算财力为</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160329</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万元，当年全区一般公共预算支出完成</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160329</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仿宋_GB2312" w:eastAsia="楷体_GB2312" w:cs="仿宋_GB2312"/>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（二）政府性基金预算执行情况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1、政府性基金预算收入执行情况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年全区政府性基金预算收入年初预算为</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0000万元</w:t>
      </w:r>
      <w:r>
        <w:rPr>
          <w:rFonts w:hint="eastAsia" w:ascii="仿宋_GB2312" w:hAnsi="仿宋_GB2312" w:eastAsia="仿宋_GB2312" w:cs="仿宋_GB2312"/>
          <w:color w:val="000000" w:themeColor="text1"/>
          <w:kern w:val="1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实际完成</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31387</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2、政府性基金预算支出执行情况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bCs/>
          <w:color w:val="000000" w:themeColor="text1"/>
          <w:kern w:val="10"/>
          <w:sz w:val="32"/>
          <w:szCs w:val="32"/>
          <w:highlight w:val="yellow"/>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202</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年全区政府性基金预算支出年初预算为</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228369</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1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实际完成</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78000</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10"/>
          <w:sz w:val="32"/>
          <w:szCs w:val="32"/>
          <w:highlight w:val="none"/>
          <w14:textFill>
            <w14:solidFill>
              <w14:schemeClr w14:val="tx1"/>
            </w14:solidFill>
          </w14:textFill>
        </w:rPr>
        <w:t>功能分类支出主要是：</w:t>
      </w:r>
      <w:r>
        <w:rPr>
          <w:rFonts w:hint="eastAsia" w:ascii="仿宋_GB2312" w:hAnsi="仿宋_GB2312" w:eastAsia="仿宋_GB2312" w:cs="仿宋_GB2312"/>
          <w:b w:val="0"/>
          <w:bCs/>
          <w:color w:val="000000" w:themeColor="text1"/>
          <w:kern w:val="10"/>
          <w:sz w:val="32"/>
          <w:szCs w:val="32"/>
          <w:highlight w:val="none"/>
          <w14:textFill>
            <w14:solidFill>
              <w14:schemeClr w14:val="tx1"/>
            </w14:solidFill>
          </w14:textFill>
        </w:rPr>
        <w:t>城乡社区支出51131万元、社会保障和就业支出972万元、债务付息支出10055万元、农林水支出110万元、其他支出15729万元。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color w:val="000000" w:themeColor="text1"/>
          <w:kern w:val="10"/>
          <w:sz w:val="32"/>
          <w:szCs w:val="32"/>
          <w:highlight w:val="none"/>
          <w14:textFill>
            <w14:solidFill>
              <w14:schemeClr w14:val="tx1"/>
            </w14:solidFill>
          </w14:textFill>
        </w:rPr>
        <w:t>经济分类支出主要是：</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机关商品和服务支出</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1757</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万元、机关资本性支出</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64258</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万元、对个人和家庭的补助支</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636</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万元、债务付息支出</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10055</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万元、其他支出</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1280</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根据现行市区财政体制测算，202</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年全区政府性基金收入</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31387</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万元，加上级补助收入</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3334</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万元、上年结转结余</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7278</w:t>
      </w:r>
      <w:r>
        <w:rPr>
          <w:rFonts w:hint="eastAsia" w:ascii="仿宋_GB2312" w:hAnsi="仿宋_GB2312" w:eastAsia="仿宋_GB2312" w:cs="仿宋_GB2312"/>
          <w:bCs/>
          <w:color w:val="000000" w:themeColor="text1"/>
          <w:kern w:val="10"/>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转贷财政部代理发行地方政府债券收入62500万元（其中新增专项债券55000万元、再融资类债券7500万元），减基金上解支出4595万元、结转下年支出14404万元。2023年全区政府性基金预算财力为78000万元，当年全区政府性基金预算支出完成78000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仿宋_GB2312" w:eastAsia="楷体_GB2312" w:cs="仿宋_GB2312"/>
          <w:b w:val="0"/>
          <w:bCs w:val="0"/>
          <w:color w:val="auto"/>
          <w:kern w:val="2"/>
          <w:sz w:val="32"/>
          <w:szCs w:val="32"/>
          <w:highlight w:val="none"/>
        </w:rPr>
      </w:pPr>
      <w:r>
        <w:rPr>
          <w:rFonts w:hint="eastAsia" w:ascii="楷体_GB2312" w:hAnsi="仿宋_GB2312" w:eastAsia="楷体_GB2312" w:cs="仿宋_GB2312"/>
          <w:b w:val="0"/>
          <w:bCs w:val="0"/>
          <w:color w:val="auto"/>
          <w:kern w:val="2"/>
          <w:sz w:val="32"/>
          <w:szCs w:val="32"/>
          <w:highlight w:val="none"/>
        </w:rPr>
        <w:t>（三）国有资本经营预算执行情况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1、国有资本经营预算收入执行情况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2023年年初未安排国有资本经营预算收入，2023年国有资本经营预算收入实际完成0万元。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2、国有资本经营预算支出执行情况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2023年年初未安排国有资本经营预算支出，实际支出完成20万元。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根据现行市区财政体制测算，2023年全区国有资本经营预算收入0万元、加上级补助收入45万元，加上年结转收入110万元，减国有资本经营预算支出20万元，年末结余135万元。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仿宋_GB2312" w:eastAsia="楷体_GB2312" w:cs="仿宋_GB2312"/>
          <w:b w:val="0"/>
          <w:bCs w:val="0"/>
          <w:color w:val="auto"/>
          <w:kern w:val="2"/>
          <w:sz w:val="32"/>
          <w:szCs w:val="32"/>
          <w:highlight w:val="none"/>
        </w:rPr>
      </w:pPr>
      <w:r>
        <w:rPr>
          <w:rFonts w:hint="eastAsia" w:ascii="楷体_GB2312" w:hAnsi="仿宋_GB2312" w:eastAsia="楷体_GB2312" w:cs="仿宋_GB2312"/>
          <w:b w:val="0"/>
          <w:bCs w:val="0"/>
          <w:color w:val="auto"/>
          <w:kern w:val="2"/>
          <w:sz w:val="32"/>
          <w:szCs w:val="32"/>
          <w:highlight w:val="none"/>
        </w:rPr>
        <w:t>（四）社会保险基金预算执行情况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lang w:eastAsia="zh-CN"/>
          <w14:textFill>
            <w14:solidFill>
              <w14:schemeClr w14:val="tx1"/>
            </w14:solidFill>
          </w14:textFill>
        </w:rPr>
        <w:t>2</w:t>
      </w: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023年社会保险基金年初预算收入为8084万元，社保基金收入实际完成9209万元，为年初预算的113.9%。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2023年社会保险基金年初预算支出为6064万元，社保基金支出实际完成7304万元，为年初预算的120.4%。</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楷体_GB2312" w:hAnsi="仿宋_GB2312" w:eastAsia="楷体_GB2312" w:cs="仿宋_GB2312"/>
          <w:b w:val="0"/>
          <w:bCs w:val="0"/>
          <w:color w:val="000000" w:themeColor="text1"/>
          <w:kern w:val="2"/>
          <w:sz w:val="32"/>
          <w:szCs w:val="32"/>
          <w:highlight w:val="none"/>
          <w14:textFill>
            <w14:solidFill>
              <w14:schemeClr w14:val="tx1"/>
            </w14:solidFill>
          </w14:textFill>
        </w:rPr>
      </w:pPr>
      <w:r>
        <w:rPr>
          <w:rFonts w:hint="eastAsia" w:ascii="楷体_GB2312" w:hAnsi="仿宋_GB2312" w:eastAsia="楷体_GB2312" w:cs="仿宋_GB2312"/>
          <w:b w:val="0"/>
          <w:bCs w:val="0"/>
          <w:color w:val="000000" w:themeColor="text1"/>
          <w:kern w:val="2"/>
          <w:sz w:val="32"/>
          <w:szCs w:val="32"/>
          <w:highlight w:val="none"/>
          <w14:textFill>
            <w14:solidFill>
              <w14:schemeClr w14:val="tx1"/>
            </w14:solidFill>
          </w14:textFill>
        </w:rPr>
        <w:t>（五）政府债务情况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2023年，上级财政部门核定龙安区政府法定债务限额为405159万元，其中：一般债务限额53159万元，专项债务限额352000万元（含化解中小银行风险专项债176300万元）。全区累计债务余额400667万元，其中：一般债务49809万元，专项债务350858万元，均未超过法定债务限额。全年我区新增债券共58516万元，其中：专项债券发行金额55000万元，一般债券发行金额3516万元；上级财政部门转贷我区再融资类债券13500万元，其中：一般债券再融资6000万元，专项债券再融资7500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kern w:val="10"/>
          <w:sz w:val="32"/>
          <w:szCs w:val="32"/>
          <w:highlight w:val="none"/>
          <w:lang w:val="en-US" w:eastAsia="zh-CN"/>
          <w14:textFill>
            <w14:solidFill>
              <w14:schemeClr w14:val="tx1"/>
            </w14:solidFill>
          </w14:textFill>
        </w:rPr>
        <w:t>上述预算执行情况经上级财政部门批复后如有变化，将依据法定程序向区人大常委会报告。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color w:val="000000" w:themeColor="text1"/>
          <w:kern w:val="10"/>
          <w:sz w:val="32"/>
          <w:szCs w:val="32"/>
          <w:highlight w:val="none"/>
          <w14:textFill>
            <w14:solidFill>
              <w14:schemeClr w14:val="tx1"/>
            </w14:solidFill>
          </w14:textFill>
        </w:rPr>
      </w:pPr>
      <w:r>
        <w:rPr>
          <w:rFonts w:hint="eastAsia" w:ascii="黑体" w:hAnsi="黑体" w:eastAsia="黑体" w:cs="黑体"/>
          <w:color w:val="000000" w:themeColor="text1"/>
          <w:kern w:val="10"/>
          <w:sz w:val="32"/>
          <w:szCs w:val="32"/>
          <w:highlight w:val="none"/>
          <w14:textFill>
            <w14:solidFill>
              <w14:schemeClr w14:val="tx1"/>
            </w14:solidFill>
          </w14:textFill>
        </w:rPr>
        <w:t>二、202</w:t>
      </w:r>
      <w:r>
        <w:rPr>
          <w:rFonts w:hint="eastAsia" w:ascii="黑体" w:hAnsi="黑体" w:eastAsia="黑体" w:cs="黑体"/>
          <w:color w:val="000000" w:themeColor="text1"/>
          <w:kern w:val="10"/>
          <w:sz w:val="32"/>
          <w:szCs w:val="32"/>
          <w:highlight w:val="none"/>
          <w:lang w:val="en-US" w:eastAsia="zh-CN"/>
          <w14:textFill>
            <w14:solidFill>
              <w14:schemeClr w14:val="tx1"/>
            </w14:solidFill>
          </w14:textFill>
        </w:rPr>
        <w:t>3</w:t>
      </w:r>
      <w:r>
        <w:rPr>
          <w:rFonts w:hint="eastAsia" w:ascii="黑体" w:hAnsi="黑体" w:eastAsia="黑体" w:cs="黑体"/>
          <w:color w:val="000000" w:themeColor="text1"/>
          <w:kern w:val="10"/>
          <w:sz w:val="32"/>
          <w:szCs w:val="32"/>
          <w:highlight w:val="none"/>
          <w14:textFill>
            <w14:solidFill>
              <w14:schemeClr w14:val="tx1"/>
            </w14:solidFill>
          </w14:textFill>
        </w:rPr>
        <w:t>年主要财政工作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楷体" w:hAnsi="楷体" w:eastAsia="楷体" w:cs="楷体"/>
          <w:kern w:val="2"/>
          <w:sz w:val="32"/>
          <w:szCs w:val="32"/>
          <w:highlight w:val="none"/>
          <w:lang w:val="en-US" w:eastAsia="zh-CN" w:bidi="ar-SA"/>
        </w:rPr>
      </w:pPr>
      <w:r>
        <w:rPr>
          <w:rFonts w:hint="eastAsia" w:ascii="楷体" w:hAnsi="楷体" w:eastAsia="楷体" w:cs="楷体"/>
          <w:kern w:val="2"/>
          <w:sz w:val="32"/>
          <w:szCs w:val="32"/>
          <w:highlight w:val="none"/>
          <w:lang w:val="en-US" w:eastAsia="zh-CN" w:bidi="ar-SA"/>
        </w:rPr>
        <w:t>（一）推进财源税源建设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落实注册经济优惠政策兑付。</w:t>
      </w:r>
      <w:r>
        <w:rPr>
          <w:rFonts w:hint="eastAsia" w:ascii="仿宋_GB2312" w:hAnsi="仿宋_GB2312" w:eastAsia="仿宋_GB2312" w:cs="仿宋_GB2312"/>
          <w:b w:val="0"/>
          <w:bCs w:val="0"/>
          <w:sz w:val="32"/>
          <w:szCs w:val="32"/>
          <w:highlight w:val="none"/>
          <w:lang w:val="en-US" w:eastAsia="zh-CN"/>
        </w:rPr>
        <w:t>突出政策精准扶持，不折不扣落实减税降费政策，为企业纾困减负，持续优化营商环境，努力打造诚信政府，特别是针对税源零星、征管难度大的注册经济类招商，助力全区收入增长，为全区一般公共预算收入贡献1068万元。</w:t>
      </w:r>
      <w:r>
        <w:rPr>
          <w:rFonts w:hint="eastAsia" w:ascii="仿宋_GB2312" w:hAnsi="仿宋_GB2312" w:eastAsia="仿宋_GB2312" w:cs="仿宋_GB2312"/>
          <w:b/>
          <w:bCs/>
          <w:spacing w:val="0"/>
          <w:sz w:val="32"/>
          <w:szCs w:val="32"/>
          <w:highlight w:val="none"/>
          <w:lang w:val="en-US" w:eastAsia="zh-CN"/>
        </w:rPr>
        <w:t>强化综合治税管理。</w:t>
      </w:r>
      <w:r>
        <w:rPr>
          <w:rFonts w:hint="eastAsia" w:ascii="仿宋_GB2312" w:hAnsi="仿宋_GB2312" w:eastAsia="仿宋_GB2312" w:cs="仿宋_GB2312"/>
          <w:b w:val="0"/>
          <w:bCs w:val="0"/>
          <w:spacing w:val="-4"/>
          <w:kern w:val="2"/>
          <w:sz w:val="32"/>
          <w:szCs w:val="32"/>
          <w:highlight w:val="none"/>
          <w:lang w:val="en-US" w:eastAsia="zh-CN" w:bidi="ar-SA"/>
        </w:rPr>
        <w:t>除以房地产业土增清算外，加大了税收专项治理和稽查力度，积极开展契税、耕地占用税、建筑、铁合金行业等税收专项治理，切实加强对重点税源企业和重点行业的税收监管，确保税收应收尽收。</w:t>
      </w:r>
      <w:r>
        <w:rPr>
          <w:rFonts w:hint="eastAsia" w:ascii="仿宋_GB2312" w:hAnsi="仿宋_GB2312" w:eastAsia="仿宋_GB2312" w:cs="仿宋_GB2312"/>
          <w:b/>
          <w:bCs/>
          <w:spacing w:val="-4"/>
          <w:kern w:val="2"/>
          <w:sz w:val="32"/>
          <w:szCs w:val="32"/>
          <w:highlight w:val="none"/>
          <w:lang w:val="en-US" w:eastAsia="zh-CN" w:bidi="ar-SA"/>
        </w:rPr>
        <w:t>全力推动资产盘活。</w:t>
      </w:r>
      <w:r>
        <w:rPr>
          <w:rFonts w:hint="eastAsia" w:ascii="仿宋_GB2312" w:hAnsi="仿宋_GB2312" w:eastAsia="仿宋_GB2312" w:cs="仿宋_GB2312"/>
          <w:b w:val="0"/>
          <w:bCs w:val="0"/>
          <w:color w:val="auto"/>
          <w:sz w:val="32"/>
          <w:szCs w:val="32"/>
          <w:highlight w:val="none"/>
          <w:lang w:val="en-US" w:eastAsia="zh-CN"/>
        </w:rPr>
        <w:t>在行政事业性资产盘活、提升利用效率上下功夫，严格执行制度规范处置流程，实现资产、资源到资金的有效转化。组织全区行政事业单位开展闲置资产排查登记，共有22处闲置资产对外出租，对区教育局、农业局、水利局、卫健委等单位闲置资产，按流程进行评估和公开招租。指导监督区住建和卫健部门对防疫资产公开拍卖，其中原安康驿站隔离点的467套板房，经265轮激烈竞拍，最终以214万元的高价成功拍卖，成交溢价率达36.1%，原教育局办公楼五年租赁权101万元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仿宋_GB2312" w:eastAsia="楷体_GB2312" w:cs="仿宋_GB2312"/>
          <w:color w:val="000000" w:themeColor="text1"/>
          <w:kern w:val="2"/>
          <w:sz w:val="32"/>
          <w:szCs w:val="32"/>
          <w:highlight w:val="none"/>
          <w:lang w:val="en-US" w:eastAsia="zh-CN"/>
          <w14:textFill>
            <w14:solidFill>
              <w14:schemeClr w14:val="tx1"/>
            </w14:solidFill>
          </w14:textFill>
        </w:rPr>
      </w:pPr>
      <w:r>
        <w:rPr>
          <w:rFonts w:hint="eastAsia" w:ascii="楷体_GB2312" w:hAnsi="仿宋_GB2312" w:eastAsia="楷体_GB2312" w:cs="仿宋_GB2312"/>
          <w:color w:val="000000" w:themeColor="text1"/>
          <w:kern w:val="2"/>
          <w:sz w:val="32"/>
          <w:szCs w:val="32"/>
          <w:highlight w:val="none"/>
          <w14:textFill>
            <w14:solidFill>
              <w14:schemeClr w14:val="tx1"/>
            </w14:solidFill>
          </w14:textFill>
        </w:rPr>
        <w:t>（二）</w:t>
      </w:r>
      <w:r>
        <w:rPr>
          <w:rFonts w:hint="eastAsia" w:ascii="楷体" w:hAnsi="楷体" w:eastAsia="楷体" w:cs="楷体"/>
          <w:kern w:val="2"/>
          <w:sz w:val="32"/>
          <w:szCs w:val="32"/>
          <w:highlight w:val="none"/>
          <w:lang w:val="en-US" w:eastAsia="zh-CN" w:bidi="ar-SA"/>
        </w:rPr>
        <w:t>强化财政日常管理</w:t>
      </w:r>
    </w:p>
    <w:p>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sz w:val="32"/>
          <w:szCs w:val="32"/>
          <w:highlight w:val="yellow"/>
          <w:lang w:val="en-US" w:eastAsia="zh-CN"/>
        </w:rPr>
      </w:pPr>
      <w:r>
        <w:rPr>
          <w:rFonts w:hint="eastAsia" w:ascii="仿宋_GB2312" w:hAnsi="Times New Roman" w:eastAsia="仿宋_GB2312" w:cs="Times New Roman"/>
          <w:b/>
          <w:bCs w:val="0"/>
          <w:color w:val="auto"/>
          <w:kern w:val="2"/>
          <w:sz w:val="32"/>
          <w:szCs w:val="32"/>
          <w:highlight w:val="none"/>
          <w:lang w:val="en-US" w:eastAsia="zh-CN" w:bidi="ar-SA"/>
        </w:rPr>
        <w:t>加强直达资金管理。</w:t>
      </w:r>
      <w:r>
        <w:rPr>
          <w:rFonts w:hint="eastAsia" w:ascii="仿宋_GB2312" w:hAnsi="仿宋_GB2312" w:eastAsia="仿宋_GB2312" w:cs="仿宋_GB2312"/>
          <w:b w:val="0"/>
          <w:bCs/>
          <w:spacing w:val="-4"/>
          <w:kern w:val="2"/>
          <w:sz w:val="32"/>
          <w:szCs w:val="32"/>
          <w:highlight w:val="none"/>
          <w:lang w:val="en-US" w:eastAsia="zh-CN" w:bidi="ar-SA"/>
        </w:rPr>
        <w:t>财政局针对直达资金的分配使用实行强化监管、加强督导、及时部署等工作，切实保证直达资金直达基层，充分发挥直达资金的重要作用。同时做好与上级部门的沟通，与同级审计部门的协同配合，充分利用直达资金监控系统进行监控，对发现的问题及时纠正。2023年上级下达我区中央直达资金25905万元，缓解了区级支出压力大的局面，同时促进相关资金直接惠企利民，切实发挥效益。</w:t>
      </w:r>
      <w:r>
        <w:rPr>
          <w:rFonts w:hint="eastAsia" w:ascii="仿宋_GB2312" w:eastAsia="仿宋_GB2312"/>
          <w:b/>
          <w:bCs w:val="0"/>
          <w:color w:val="auto"/>
          <w:sz w:val="32"/>
          <w:szCs w:val="32"/>
          <w:highlight w:val="none"/>
          <w:lang w:val="en-US" w:eastAsia="zh-CN"/>
        </w:rPr>
        <w:t>推动农村公益事业健康发展，保障农村综合改革工作顺利进行。</w:t>
      </w:r>
      <w:r>
        <w:rPr>
          <w:rFonts w:hint="eastAsia" w:ascii="仿宋_GB2312" w:eastAsia="仿宋_GB2312"/>
          <w:b w:val="0"/>
          <w:bCs/>
          <w:color w:val="auto"/>
          <w:sz w:val="32"/>
          <w:szCs w:val="32"/>
          <w:highlight w:val="none"/>
          <w:lang w:val="en-US" w:eastAsia="zh-CN"/>
        </w:rPr>
        <w:t>2023年上级下达我区农村综合改革资金共计605万元，区级配套资金26万元。结合我区2023年乡村振兴工作实际，充分发挥并尊重农村群众意愿，经乡村级申报、区级调研论证，安排马家乡、马投涧镇、龙泉镇、东风乡、善应镇五个乡镇的14个村开展2023年农村公益事业项目，分三批申报，共计20个项目，项目建设内容涉及村内背街小巷道路硬化、铺油、铺沥青、污水沟及村内文化广场。</w:t>
      </w:r>
      <w:r>
        <w:rPr>
          <w:rFonts w:hint="eastAsia" w:ascii="仿宋_GB2312" w:hAnsi="仿宋_GB2312" w:eastAsia="仿宋_GB2312" w:cs="仿宋_GB2312"/>
          <w:b/>
          <w:bCs w:val="0"/>
          <w:kern w:val="0"/>
          <w:sz w:val="32"/>
          <w:szCs w:val="32"/>
          <w:highlight w:val="none"/>
          <w:lang w:val="en-US" w:eastAsia="zh-CN" w:bidi="ar-SA"/>
        </w:rPr>
        <w:t>强化财政投资评审，提升财政资金使用效益。</w:t>
      </w:r>
      <w:r>
        <w:rPr>
          <w:rFonts w:hint="eastAsia" w:ascii="仿宋_GB2312" w:hAnsi="仿宋_GB2312" w:eastAsia="仿宋_GB2312" w:cs="仿宋_GB2312"/>
          <w:b w:val="0"/>
          <w:bCs/>
          <w:kern w:val="0"/>
          <w:sz w:val="32"/>
          <w:szCs w:val="32"/>
          <w:highlight w:val="none"/>
          <w:lang w:val="en-US" w:eastAsia="zh-CN" w:bidi="ar-SA"/>
        </w:rPr>
        <w:t>通过采取资料审核数据化、报告审核信息化、现场勘察精细化等手段，紧紧围绕节约政府投资、提高财政资金使用效益这一关键核心，加大政府投资项目监管力度。评审中心完成评审并出具报告177个，送审金额88712万元，审定金额为81842万元，审减金额6870万元，审减率7.7%，节约财政资金6870万元。</w:t>
      </w:r>
      <w:r>
        <w:rPr>
          <w:rFonts w:hint="eastAsia" w:ascii="仿宋_GB2312" w:hAnsi="仿宋_GB2312" w:eastAsia="仿宋_GB2312" w:cs="仿宋_GB2312"/>
          <w:b/>
          <w:bCs w:val="0"/>
          <w:color w:val="auto"/>
          <w:kern w:val="0"/>
          <w:sz w:val="32"/>
          <w:szCs w:val="32"/>
          <w:highlight w:val="none"/>
          <w:lang w:val="en-US" w:eastAsia="zh-CN" w:bidi="ar-SA"/>
        </w:rPr>
        <w:t>规范政府采购行为，优化政府采购营商环境。</w:t>
      </w:r>
      <w:r>
        <w:rPr>
          <w:rFonts w:hint="eastAsia" w:ascii="仿宋_GB2312" w:hAnsi="仿宋_GB2312" w:eastAsia="仿宋_GB2312" w:cs="仿宋_GB2312"/>
          <w:b w:val="0"/>
          <w:bCs/>
          <w:color w:val="auto"/>
          <w:kern w:val="2"/>
          <w:sz w:val="32"/>
          <w:szCs w:val="32"/>
          <w:lang w:val="en-US" w:eastAsia="zh-CN" w:bidi="ar-SA"/>
        </w:rPr>
        <w:t>压减政府采购各环节时限，提高政府采购预付款和首付款比例，取消投标保证和履约保证金，提高小微企业价格评审优惠力度，提高中小企业采购预留份额。组织全区各预算单位采购贫困地区农副产品。通过政府采购意向公开，保障各类市场主体平等参与政府采购活动，</w:t>
      </w:r>
      <w:r>
        <w:rPr>
          <w:rFonts w:hint="eastAsia" w:ascii="仿宋_GB2312" w:hAnsi="仿宋_GB2312" w:eastAsia="仿宋_GB2312" w:cs="仿宋_GB2312"/>
          <w:b w:val="0"/>
          <w:bCs/>
          <w:color w:val="auto"/>
          <w:sz w:val="32"/>
          <w:szCs w:val="32"/>
          <w:lang w:val="en-US" w:eastAsia="zh-CN"/>
        </w:rPr>
        <w:t>提高政府采购透明度，实现政府采购“物有所值”采购目标，提升政府采购绩效。采购政府采购项目32个，预算金额 48220.98万元，中标金额46761.34万元，节约资金1459.64万元；网上商城采购226次，采购金额365.17万元。</w:t>
      </w:r>
      <w:r>
        <w:rPr>
          <w:rFonts w:hint="eastAsia" w:ascii="仿宋_GB2312" w:hAnsi="仿宋_GB2312" w:eastAsia="仿宋_GB2312" w:cs="仿宋_GB2312"/>
          <w:b/>
          <w:bCs w:val="0"/>
          <w:sz w:val="32"/>
          <w:szCs w:val="32"/>
          <w:highlight w:val="none"/>
          <w:lang w:val="en-US" w:eastAsia="zh-CN"/>
        </w:rPr>
        <w:t>增强国有资产监管工作力度。</w:t>
      </w:r>
      <w:r>
        <w:rPr>
          <w:rFonts w:hint="eastAsia" w:ascii="仿宋_GB2312" w:hAnsi="仿宋_GB2312" w:eastAsia="仿宋_GB2312" w:cs="仿宋_GB2312"/>
          <w:b w:val="0"/>
          <w:bCs/>
          <w:sz w:val="32"/>
          <w:szCs w:val="32"/>
          <w:highlight w:val="none"/>
          <w:lang w:val="en-US" w:eastAsia="zh-CN"/>
        </w:rPr>
        <w:t>修订出台了《关于进一步加强行政事业单位国有资产管理的通知》（龙财[2023]35号），重点对单位闲置资产出租出借进行规范管理，在第三方资产评估的基础上，通过公共交易平台对外招租，确保了单位出租出借国有资产的保值增值及安全和完整。做好区本级事业单位重塑性改革资产转移工作，配合区编办完成跨部门涉改资产划转单位4家，完成职能整合资产划转单位多家，保证了事业单位重塑改革工作进展。落实区属国企“三重一大”事项备案审批制度，严标准对区属国有公司开展年度经营业绩目标设置和考核制度，国资在线监管系统正式上线运行，扎实深入开展清廉国企创建工作。</w:t>
      </w:r>
      <w:r>
        <w:rPr>
          <w:rFonts w:hint="eastAsia" w:ascii="仿宋_GB2312" w:hAnsi="仿宋_GB2312" w:eastAsia="仿宋_GB2312" w:cs="仿宋_GB2312"/>
          <w:b/>
          <w:bCs w:val="0"/>
          <w:sz w:val="32"/>
          <w:szCs w:val="32"/>
          <w:highlight w:val="none"/>
          <w:lang w:val="en-US" w:eastAsia="zh-CN"/>
        </w:rPr>
        <w:t>持续做好全区会计管理工作。</w:t>
      </w:r>
      <w:r>
        <w:rPr>
          <w:rFonts w:hint="eastAsia" w:ascii="仿宋_GB2312" w:hAnsi="仿宋_GB2312" w:eastAsia="仿宋_GB2312" w:cs="仿宋_GB2312"/>
          <w:b w:val="0"/>
          <w:bCs/>
          <w:sz w:val="32"/>
          <w:szCs w:val="32"/>
          <w:highlight w:val="none"/>
          <w:lang w:val="en-US" w:eastAsia="zh-CN"/>
        </w:rPr>
        <w:t>贯彻“证照</w:t>
      </w:r>
      <w:bookmarkStart w:id="0" w:name="_GoBack"/>
      <w:bookmarkEnd w:id="0"/>
      <w:r>
        <w:rPr>
          <w:rFonts w:hint="eastAsia" w:ascii="仿宋_GB2312" w:hAnsi="仿宋_GB2312" w:eastAsia="仿宋_GB2312" w:cs="仿宋_GB2312"/>
          <w:b w:val="0"/>
          <w:bCs/>
          <w:sz w:val="32"/>
          <w:szCs w:val="32"/>
          <w:highlight w:val="none"/>
          <w:lang w:val="en-US" w:eastAsia="zh-CN"/>
        </w:rPr>
        <w:t>分离”改革要求，全面推行会计代理记账机构“告知承诺”容缺行政审批制度，全年新增机构5家，全部实行承诺审批办理。配合税务、市场监管部门做好代理记账机构无证经营、虚假承诺和违规税务代理专项整治工作，促进全区代理记账行业健康良性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color w:val="000000" w:themeColor="text1"/>
          <w:kern w:val="2"/>
          <w:sz w:val="32"/>
          <w:szCs w:val="32"/>
          <w:highlight w:val="none"/>
          <w14:textFill>
            <w14:solidFill>
              <w14:schemeClr w14:val="tx1"/>
            </w14:solidFill>
          </w14:textFill>
        </w:rPr>
      </w:pPr>
      <w:r>
        <w:rPr>
          <w:rFonts w:hint="eastAsia" w:ascii="楷体" w:hAnsi="楷体" w:eastAsia="楷体" w:cs="楷体"/>
          <w:color w:val="000000" w:themeColor="text1"/>
          <w:kern w:val="2"/>
          <w:sz w:val="32"/>
          <w:szCs w:val="32"/>
          <w:highlight w:val="none"/>
          <w14:textFill>
            <w14:solidFill>
              <w14:schemeClr w14:val="tx1"/>
            </w14:solidFill>
          </w14:textFill>
        </w:rPr>
        <w:t>（</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三</w:t>
      </w:r>
      <w:r>
        <w:rPr>
          <w:rFonts w:hint="eastAsia" w:ascii="楷体" w:hAnsi="楷体" w:eastAsia="楷体" w:cs="楷体"/>
          <w:color w:val="000000" w:themeColor="text1"/>
          <w:kern w:val="2"/>
          <w:sz w:val="32"/>
          <w:szCs w:val="32"/>
          <w:highlight w:val="none"/>
          <w14:textFill>
            <w14:solidFill>
              <w14:schemeClr w14:val="tx1"/>
            </w14:solidFill>
          </w14:textFill>
        </w:rPr>
        <w:t>）</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全面推进</w:t>
      </w:r>
      <w:r>
        <w:rPr>
          <w:rFonts w:hint="eastAsia" w:ascii="楷体" w:hAnsi="楷体" w:eastAsia="楷体" w:cs="楷体"/>
          <w:color w:val="000000" w:themeColor="text1"/>
          <w:kern w:val="2"/>
          <w:sz w:val="32"/>
          <w:szCs w:val="32"/>
          <w:highlight w:val="none"/>
          <w14:textFill>
            <w14:solidFill>
              <w14:schemeClr w14:val="tx1"/>
            </w14:solidFill>
          </w14:textFill>
        </w:rPr>
        <w:t>乡村振兴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kern w:val="2"/>
          <w:sz w:val="32"/>
          <w:szCs w:val="32"/>
          <w:highlight w:val="none"/>
        </w:rPr>
        <w:t>立足巩固拓展脱贫攻坚成果同乡村振兴有效衔接，围绕“米袋子”和“菜篮子”，用足用好各类农业资金，</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全年安排乡村振兴有效</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衔</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接资金</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3651.5</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万元，主要用于基础设施、</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产业发展</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、雨露计划、小额贴息、第一书记工作经费等项目。安排耕地地力保护补贴资金</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1901.7</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安排</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种粮农民一次性补贴</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170</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安排2023年</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大中型水库移民补贴资金</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917.1</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（四）确保重点民生项目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eastAsia="仿宋_GB2312" w:cs="Times New Roman"/>
          <w:b w:val="0"/>
          <w:bCs/>
          <w:color w:val="auto"/>
          <w:kern w:val="2"/>
          <w:sz w:val="32"/>
          <w:szCs w:val="32"/>
          <w:highlight w:val="none"/>
          <w:lang w:val="en-US" w:eastAsia="zh-CN" w:bidi="ar-SA"/>
        </w:rPr>
        <w:t>优化支出结构，</w:t>
      </w:r>
      <w:r>
        <w:rPr>
          <w:rFonts w:hint="eastAsia" w:ascii="仿宋_GB2312" w:hAnsi="Times New Roman" w:eastAsia="仿宋_GB2312" w:cs="Times New Roman"/>
          <w:b w:val="0"/>
          <w:bCs/>
          <w:color w:val="auto"/>
          <w:kern w:val="2"/>
          <w:sz w:val="32"/>
          <w:szCs w:val="32"/>
          <w:highlight w:val="none"/>
          <w:lang w:val="en-US" w:eastAsia="zh-CN" w:bidi="ar-SA"/>
        </w:rPr>
        <w:t>减少资金沉淀</w:t>
      </w:r>
      <w:r>
        <w:rPr>
          <w:rFonts w:hint="eastAsia" w:ascii="仿宋_GB2312" w:hAnsi="仿宋_GB2312" w:eastAsia="仿宋_GB2312" w:cs="仿宋_GB2312"/>
          <w:b w:val="0"/>
          <w:bCs/>
          <w:spacing w:val="-4"/>
          <w:kern w:val="2"/>
          <w:sz w:val="32"/>
          <w:szCs w:val="32"/>
          <w:highlight w:val="none"/>
          <w:lang w:val="en-US" w:eastAsia="zh-CN" w:bidi="ar-SA"/>
        </w:rPr>
        <w:t>，实现现金支出精准，集中资金办大事，做到“大钱大气，小钱小气”，保证教育、社保、卫生健康等民生重点项目资金及时拨付。</w:t>
      </w:r>
      <w:r>
        <w:rPr>
          <w:rFonts w:hint="eastAsia" w:ascii="仿宋_GB2312" w:hAnsi="仿宋_GB2312" w:eastAsia="仿宋_GB2312" w:cs="仿宋_GB2312"/>
          <w:b/>
          <w:bCs w:val="0"/>
          <w:color w:val="000000" w:themeColor="text1"/>
          <w:kern w:val="2"/>
          <w:sz w:val="32"/>
          <w:szCs w:val="32"/>
          <w:highlight w:val="none"/>
          <w14:textFill>
            <w14:solidFill>
              <w14:schemeClr w14:val="tx1"/>
            </w14:solidFill>
          </w14:textFill>
        </w:rPr>
        <w:t>教育方面。</w:t>
      </w:r>
      <w:r>
        <w:rPr>
          <w:rFonts w:hint="eastAsia" w:ascii="仿宋_GB2312" w:hAnsi="Times New Roman" w:eastAsia="仿宋_GB2312" w:cs="Times New Roman"/>
          <w:b w:val="0"/>
          <w:bCs/>
          <w:color w:val="auto"/>
          <w:kern w:val="2"/>
          <w:sz w:val="32"/>
          <w:szCs w:val="32"/>
          <w:highlight w:val="none"/>
          <w:lang w:val="en-US" w:eastAsia="zh-CN" w:bidi="ar-SA"/>
        </w:rPr>
        <w:t>足额安排教育经费，</w:t>
      </w:r>
      <w:r>
        <w:rPr>
          <w:rFonts w:hint="eastAsia" w:ascii="仿宋_GB2312" w:eastAsia="仿宋_GB2312" w:cs="Times New Roman"/>
          <w:b w:val="0"/>
          <w:bCs/>
          <w:color w:val="auto"/>
          <w:kern w:val="2"/>
          <w:sz w:val="32"/>
          <w:szCs w:val="32"/>
          <w:highlight w:val="none"/>
          <w:lang w:val="en-US" w:eastAsia="zh-CN" w:bidi="ar-SA"/>
        </w:rPr>
        <w:t>教育支出27291万元，增长11.7%，</w:t>
      </w:r>
      <w:r>
        <w:rPr>
          <w:rFonts w:hint="eastAsia" w:ascii="仿宋_GB2312" w:hAnsi="Times New Roman" w:eastAsia="仿宋_GB2312" w:cs="Times New Roman"/>
          <w:b w:val="0"/>
          <w:bCs/>
          <w:color w:val="auto"/>
          <w:kern w:val="2"/>
          <w:sz w:val="32"/>
          <w:szCs w:val="32"/>
          <w:highlight w:val="none"/>
          <w:lang w:val="en-US" w:eastAsia="zh-CN" w:bidi="ar-SA"/>
        </w:rPr>
        <w:t>实现了“两个只增不减”。严格落实“两免一补”政策，确保义务</w:t>
      </w:r>
      <w:r>
        <w:rPr>
          <w:rFonts w:hint="eastAsia" w:ascii="仿宋_GB2312" w:eastAsia="仿宋_GB2312" w:cs="Times New Roman"/>
          <w:b w:val="0"/>
          <w:bCs/>
          <w:color w:val="auto"/>
          <w:kern w:val="2"/>
          <w:sz w:val="32"/>
          <w:szCs w:val="32"/>
          <w:highlight w:val="none"/>
          <w:lang w:val="en-US" w:eastAsia="zh-CN" w:bidi="ar-SA"/>
        </w:rPr>
        <w:t>教育</w:t>
      </w:r>
      <w:r>
        <w:rPr>
          <w:rFonts w:hint="eastAsia" w:ascii="仿宋_GB2312" w:hAnsi="Times New Roman" w:eastAsia="仿宋_GB2312" w:cs="Times New Roman"/>
          <w:b w:val="0"/>
          <w:bCs/>
          <w:color w:val="auto"/>
          <w:kern w:val="2"/>
          <w:sz w:val="32"/>
          <w:szCs w:val="32"/>
          <w:highlight w:val="none"/>
          <w:lang w:val="en-US" w:eastAsia="zh-CN" w:bidi="ar-SA"/>
        </w:rPr>
        <w:t>阶段学生完成学业。</w:t>
      </w:r>
      <w:r>
        <w:rPr>
          <w:rFonts w:hint="eastAsia" w:ascii="仿宋_GB2312" w:eastAsia="仿宋_GB2312" w:cs="Times New Roman"/>
          <w:b w:val="0"/>
          <w:bCs/>
          <w:color w:val="auto"/>
          <w:kern w:val="2"/>
          <w:sz w:val="32"/>
          <w:szCs w:val="32"/>
          <w:highlight w:val="none"/>
          <w:lang w:val="en-US" w:eastAsia="zh-CN" w:bidi="ar-SA"/>
        </w:rPr>
        <w:t>及时发放教师工资</w:t>
      </w:r>
      <w:r>
        <w:rPr>
          <w:rFonts w:hint="eastAsia" w:ascii="仿宋_GB2312" w:hAnsi="Times New Roman" w:eastAsia="仿宋_GB2312" w:cs="Times New Roman"/>
          <w:b w:val="0"/>
          <w:bCs/>
          <w:color w:val="auto"/>
          <w:kern w:val="2"/>
          <w:sz w:val="32"/>
          <w:szCs w:val="32"/>
          <w:highlight w:val="none"/>
          <w:lang w:val="en-US" w:eastAsia="zh-CN" w:bidi="ar-SA"/>
        </w:rPr>
        <w:t>，确保教师工资高于公务员工资水平。安排普惠幼儿园财政补贴资金，落实学前教育普及普惠政策，提升辖区学前教育办学水平。安排学校建设资金，新建烧盆窑小学教学楼、刘家庄小学教学楼，启动置度小学建设，增加辖区义务教育学位。</w:t>
      </w:r>
      <w:r>
        <w:rPr>
          <w:rFonts w:hint="eastAsia" w:ascii="仿宋_GB2312" w:hAnsi="仿宋_GB2312" w:eastAsia="仿宋_GB2312" w:cs="仿宋_GB2312"/>
          <w:b/>
          <w:bCs w:val="0"/>
          <w:color w:val="000000" w:themeColor="text1"/>
          <w:kern w:val="2"/>
          <w:sz w:val="32"/>
          <w:szCs w:val="32"/>
          <w:highlight w:val="none"/>
          <w14:textFill>
            <w14:solidFill>
              <w14:schemeClr w14:val="tx1"/>
            </w14:solidFill>
          </w14:textFill>
        </w:rPr>
        <w:t>社会保障方面。</w:t>
      </w:r>
      <w:r>
        <w:rPr>
          <w:rFonts w:hint="eastAsia" w:ascii="仿宋_GB2312" w:eastAsia="仿宋_GB2312" w:cs="Times New Roman"/>
          <w:b w:val="0"/>
          <w:bCs/>
          <w:color w:val="auto"/>
          <w:kern w:val="2"/>
          <w:sz w:val="32"/>
          <w:szCs w:val="32"/>
          <w:highlight w:val="none"/>
          <w:lang w:val="en-US" w:eastAsia="zh-CN" w:bidi="ar-SA"/>
        </w:rPr>
        <w:t>社会保障支出16532万元，持续加大对社保资金的投入力度，严格落实各类社会保障资金标准，每月10日前按时足额发放到位。投入600余万元用于养老服务体系建设，新建、改建社区养老服务设施面积2.8万平方米。</w:t>
      </w:r>
      <w:r>
        <w:rPr>
          <w:rFonts w:hint="eastAsia" w:ascii="仿宋_GB2312" w:eastAsia="仿宋_GB2312" w:cs="Times New Roman"/>
          <w:b w:val="0"/>
          <w:bCs/>
          <w:color w:val="auto"/>
          <w:kern w:val="2"/>
          <w:sz w:val="32"/>
          <w:szCs w:val="32"/>
          <w:highlight w:val="none"/>
          <w:u w:val="none"/>
          <w:lang w:val="en-US" w:eastAsia="zh-CN" w:bidi="ar-SA"/>
        </w:rPr>
        <w:t>养老服务设施实现三级全覆盖，初步形成居家、社区、机构相协调，医养、康养相结合，公办、</w:t>
      </w:r>
      <w:r>
        <w:rPr>
          <w:rFonts w:hint="eastAsia" w:ascii="仿宋_GB2312" w:eastAsia="仿宋_GB2312" w:cs="Times New Roman"/>
          <w:b w:val="0"/>
          <w:bCs/>
          <w:color w:val="auto"/>
          <w:kern w:val="2"/>
          <w:sz w:val="32"/>
          <w:szCs w:val="32"/>
          <w:highlight w:val="none"/>
          <w:lang w:val="en-US" w:eastAsia="zh-CN" w:bidi="ar-SA"/>
        </w:rPr>
        <w:t>民营互补的居家社区养老服务体系，实现辖区老人“不出社区、不离亲”就能受到全方位的社区养老服务。安排就业创业资金，及时发放岗位津贴，保持就业形势稳定。落实“洹泉涌流”政策，安排专项资金发放人才补贴，改造人才公寓，招揽人才，发展龙安。及时足额发放优抚对象抚恤补助资金，保证优抚对象生活不低于当地的平均生活水平。</w:t>
      </w:r>
      <w:r>
        <w:rPr>
          <w:rFonts w:hint="eastAsia" w:ascii="仿宋_GB2312" w:eastAsia="仿宋_GB2312" w:cs="Times New Roman"/>
          <w:b/>
          <w:bCs w:val="0"/>
          <w:color w:val="auto"/>
          <w:kern w:val="2"/>
          <w:sz w:val="32"/>
          <w:szCs w:val="32"/>
          <w:highlight w:val="none"/>
          <w:lang w:val="en-US" w:eastAsia="zh-CN" w:bidi="ar-SA"/>
        </w:rPr>
        <w:t>医疗卫生方面。</w:t>
      </w:r>
      <w:r>
        <w:rPr>
          <w:rFonts w:hint="eastAsia" w:ascii="仿宋_GB2312" w:eastAsia="仿宋_GB2312" w:cs="Times New Roman"/>
          <w:b w:val="0"/>
          <w:bCs/>
          <w:color w:val="auto"/>
          <w:kern w:val="2"/>
          <w:sz w:val="32"/>
          <w:szCs w:val="32"/>
          <w:highlight w:val="none"/>
          <w:lang w:val="en-US" w:eastAsia="zh-CN" w:bidi="ar-SA"/>
        </w:rPr>
        <w:t>医疗卫生支出13406万元，公共卫生服务能力持续提升，基本公共卫生服务人均财政补助标准提高至89元。基层医疗卫生基础持续夯实，统筹各级资金大力支持基层卫生健康人才培养、社区卫生机构和村卫生室标准化建设等，推动实施村医队伍建设，不断提升基层医疗卫生服务水平。基本医疗保障力度持续加强，城乡居民基本医疗保险财政补助标准提高到640元，构建了城乡居民基本医保、大病保险、医疗救助三重医疗保障网，基本实现城乡居民全覆盖。发挥医疗救助托低保障作用。分类资助特困人员、低保对象、农村建档立卡贫困人口参加居民医保，确保困难群众应保尽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kern w:val="0"/>
          <w:sz w:val="32"/>
          <w:szCs w:val="32"/>
          <w:highlight w:val="none"/>
          <w:lang w:val="en-US" w:eastAsia="zh-CN" w:bidi="ar-SA"/>
        </w:rPr>
      </w:pPr>
      <w:r>
        <w:rPr>
          <w:rFonts w:hint="eastAsia" w:ascii="楷体" w:hAnsi="楷体" w:eastAsia="楷体" w:cs="楷体"/>
          <w:bCs/>
          <w:color w:val="000000" w:themeColor="text1"/>
          <w:kern w:val="2"/>
          <w:sz w:val="32"/>
          <w:szCs w:val="32"/>
          <w:highlight w:val="none"/>
          <w:lang w:eastAsia="zh-CN"/>
          <w14:textFill>
            <w14:solidFill>
              <w14:schemeClr w14:val="tx1"/>
            </w14:solidFill>
          </w14:textFill>
        </w:rPr>
        <w:t>（</w:t>
      </w:r>
      <w:r>
        <w:rPr>
          <w:rFonts w:hint="eastAsia" w:ascii="楷体" w:hAnsi="楷体" w:eastAsia="楷体" w:cs="楷体"/>
          <w:bCs/>
          <w:color w:val="000000" w:themeColor="text1"/>
          <w:kern w:val="2"/>
          <w:sz w:val="32"/>
          <w:szCs w:val="32"/>
          <w:highlight w:val="none"/>
          <w:lang w:val="en-US" w:eastAsia="zh-CN"/>
          <w14:textFill>
            <w14:solidFill>
              <w14:schemeClr w14:val="tx1"/>
            </w14:solidFill>
          </w14:textFill>
        </w:rPr>
        <w:t>五</w:t>
      </w:r>
      <w:r>
        <w:rPr>
          <w:rFonts w:hint="eastAsia" w:ascii="楷体" w:hAnsi="楷体" w:eastAsia="楷体" w:cs="楷体"/>
          <w:bCs/>
          <w:color w:val="000000" w:themeColor="text1"/>
          <w:kern w:val="2"/>
          <w:sz w:val="32"/>
          <w:szCs w:val="32"/>
          <w:highlight w:val="none"/>
          <w:lang w:eastAsia="zh-CN"/>
          <w14:textFill>
            <w14:solidFill>
              <w14:schemeClr w14:val="tx1"/>
            </w14:solidFill>
          </w14:textFill>
        </w:rPr>
        <w:t>）</w:t>
      </w:r>
      <w:r>
        <w:rPr>
          <w:rFonts w:hint="eastAsia" w:ascii="楷体" w:hAnsi="楷体" w:eastAsia="楷体" w:cs="楷体"/>
          <w:bCs/>
          <w:color w:val="000000" w:themeColor="text1"/>
          <w:kern w:val="2"/>
          <w:sz w:val="32"/>
          <w:szCs w:val="32"/>
          <w:highlight w:val="none"/>
          <w:lang w:val="en-US" w:eastAsia="zh-CN"/>
          <w14:textFill>
            <w14:solidFill>
              <w14:schemeClr w14:val="tx1"/>
            </w14:solidFill>
          </w14:textFill>
        </w:rPr>
        <w:t>持续加强财政监管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eastAsia="仿宋_GB2312"/>
          <w:sz w:val="32"/>
          <w:szCs w:val="32"/>
          <w:lang w:eastAsia="zh-CN"/>
        </w:rPr>
      </w:pPr>
      <w:r>
        <w:rPr>
          <w:rFonts w:hint="eastAsia" w:ascii="仿宋_GB2312" w:hAnsi="仿宋_GB2312" w:eastAsia="仿宋_GB2312" w:cs="仿宋_GB2312"/>
          <w:b/>
          <w:bCs w:val="0"/>
          <w:sz w:val="32"/>
          <w:szCs w:val="32"/>
          <w:highlight w:val="none"/>
          <w:lang w:val="en-US" w:eastAsia="zh-CN"/>
        </w:rPr>
        <w:t>全面贯彻落实财会监督专项行动。</w:t>
      </w:r>
      <w:r>
        <w:rPr>
          <w:rFonts w:hint="eastAsia" w:ascii="仿宋_GB2312" w:hAnsi="仿宋_GB2312" w:eastAsia="仿宋_GB2312" w:cs="仿宋_GB2312"/>
          <w:b w:val="0"/>
          <w:bCs/>
          <w:sz w:val="32"/>
          <w:szCs w:val="32"/>
          <w:highlight w:val="none"/>
          <w:lang w:val="en-US" w:eastAsia="zh-CN"/>
        </w:rPr>
        <w:t>贯彻中央、省、市关于落实财会监督专项行动相关精神，召开动员会及工作会议，制定专项行动实施方案，成立</w:t>
      </w:r>
      <w:r>
        <w:rPr>
          <w:rFonts w:hint="eastAsia" w:ascii="仿宋_GB2312" w:hAnsi="仿宋_GB2312" w:eastAsia="仿宋_GB2312" w:cs="仿宋_GB2312"/>
          <w:b w:val="0"/>
          <w:bCs/>
          <w:sz w:val="32"/>
          <w:szCs w:val="32"/>
          <w:highlight w:val="none"/>
          <w:lang w:eastAsia="zh-CN"/>
        </w:rPr>
        <w:t>专项领导小组，精心谋化、统筹推进，按照时间、要求完成各领域、各阶段工作，强化结果运用，切实加强财会监督工作力度，健全完善长效机制，推动建立起“五位一体”的财会监督体系，有效发挥财会监督职能作用。</w:t>
      </w:r>
      <w:r>
        <w:rPr>
          <w:rFonts w:hint="eastAsia" w:ascii="仿宋_GB2312" w:hAnsi="仿宋_GB2312" w:eastAsia="仿宋_GB2312" w:cs="仿宋_GB2312"/>
          <w:b/>
          <w:bCs w:val="0"/>
          <w:sz w:val="32"/>
          <w:szCs w:val="32"/>
          <w:highlight w:val="none"/>
          <w:lang w:val="en-US" w:eastAsia="zh-CN"/>
        </w:rPr>
        <w:t>组织开展2023年度会计信息质量检查工作。</w:t>
      </w:r>
      <w:r>
        <w:rPr>
          <w:rFonts w:hint="eastAsia" w:ascii="仿宋_GB2312" w:hAnsi="仿宋_GB2312" w:eastAsia="仿宋_GB2312" w:cs="仿宋_GB2312"/>
          <w:b w:val="0"/>
          <w:bCs/>
          <w:sz w:val="32"/>
          <w:szCs w:val="32"/>
          <w:highlight w:val="none"/>
          <w:lang w:val="en-US" w:eastAsia="zh-CN"/>
        </w:rPr>
        <w:t>确定2023年度监督检查对象，通过听取汇报，查阅单位有关报表账簿、会计凭证、经济合同、会议记录、管理制度等材料，对照问题与责任人进行详情剖析，形成检查报告。</w:t>
      </w:r>
      <w:r>
        <w:rPr>
          <w:rFonts w:hint="eastAsia" w:ascii="仿宋_GB2312" w:hAnsi="仿宋_GB2312" w:eastAsia="仿宋_GB2312" w:cs="仿宋_GB2312"/>
          <w:b/>
          <w:bCs w:val="0"/>
          <w:sz w:val="32"/>
          <w:szCs w:val="32"/>
          <w:highlight w:val="none"/>
          <w:lang w:val="en-US" w:eastAsia="zh-CN"/>
        </w:rPr>
        <w:t>组织开展2022年度预决算公开专项检查。</w:t>
      </w:r>
      <w:r>
        <w:rPr>
          <w:rFonts w:hint="eastAsia" w:ascii="仿宋_GB2312" w:hAnsi="仿宋_GB2312" w:eastAsia="仿宋_GB2312" w:cs="仿宋_GB2312"/>
          <w:b w:val="0"/>
          <w:bCs/>
          <w:sz w:val="32"/>
          <w:szCs w:val="32"/>
          <w:highlight w:val="none"/>
          <w:lang w:val="en-US" w:eastAsia="zh-CN"/>
        </w:rPr>
        <w:t>上半年组织开展全区2022年度预决算公开，检查范围为2021年决算和2022年预算。对本级预决算公开情况开展自查，重点关注预决算公开的及时性、完整性、细化程度、公开方式，财政收支的真实性。</w:t>
      </w:r>
      <w:r>
        <w:rPr>
          <w:rFonts w:hint="eastAsia" w:ascii="仿宋_GB2312" w:hAnsi="仿宋_GB2312" w:eastAsia="仿宋_GB2312" w:cs="仿宋_GB2312"/>
          <w:b/>
          <w:bCs w:val="0"/>
          <w:sz w:val="32"/>
          <w:szCs w:val="32"/>
          <w:highlight w:val="none"/>
          <w:lang w:eastAsia="zh-CN"/>
        </w:rPr>
        <w:t>开展衔接推进乡村振兴补助资金项目“回头看”活动。</w:t>
      </w:r>
      <w:r>
        <w:rPr>
          <w:rFonts w:hint="eastAsia" w:ascii="仿宋_GB2312" w:hAnsi="仿宋_GB2312" w:eastAsia="仿宋_GB2312" w:cs="仿宋_GB2312"/>
          <w:b w:val="0"/>
          <w:bCs/>
          <w:sz w:val="32"/>
          <w:szCs w:val="32"/>
          <w:highlight w:val="none"/>
          <w:lang w:eastAsia="zh-CN"/>
        </w:rPr>
        <w:t>主要包括2021-2022年财政衔接推进乡村振兴补助资金支持的基础设施项目和脱贫攻坚期以</w:t>
      </w:r>
      <w:r>
        <w:rPr>
          <w:rFonts w:hint="eastAsia" w:ascii="仿宋_GB2312" w:hAnsi="仿宋_GB2312" w:eastAsia="仿宋_GB2312" w:cs="仿宋_GB2312"/>
          <w:b w:val="0"/>
          <w:bCs/>
          <w:sz w:val="32"/>
          <w:szCs w:val="32"/>
          <w:highlight w:val="none"/>
          <w:lang w:val="en-US" w:eastAsia="zh-CN"/>
        </w:rPr>
        <w:t>来</w:t>
      </w:r>
      <w:r>
        <w:rPr>
          <w:rFonts w:hint="eastAsia" w:ascii="仿宋_GB2312" w:hAnsi="仿宋_GB2312" w:eastAsia="仿宋_GB2312" w:cs="仿宋_GB2312"/>
          <w:b w:val="0"/>
          <w:bCs/>
          <w:sz w:val="32"/>
          <w:szCs w:val="32"/>
          <w:highlight w:val="none"/>
          <w:lang w:eastAsia="zh-CN"/>
        </w:rPr>
        <w:t>（2016-2022年）财政衔接推进乡村振兴补助资金支持的产业项目。</w:t>
      </w:r>
      <w:r>
        <w:rPr>
          <w:rFonts w:hint="eastAsia" w:ascii="仿宋_GB2312" w:hAnsi="仿宋_GB2312" w:eastAsia="仿宋_GB2312" w:cs="仿宋_GB2312"/>
          <w:b w:val="0"/>
          <w:bCs/>
          <w:sz w:val="32"/>
          <w:szCs w:val="32"/>
          <w:highlight w:val="none"/>
          <w:lang w:val="en-US" w:eastAsia="zh-CN"/>
        </w:rPr>
        <w:t>通过查阅资料、访谈、实地查看等方式，督导复查各乡（镇）街道</w:t>
      </w:r>
      <w:r>
        <w:rPr>
          <w:rFonts w:hint="eastAsia" w:ascii="仿宋_GB2312" w:hAnsi="仿宋_GB2312" w:eastAsia="仿宋_GB2312" w:cs="仿宋_GB2312"/>
          <w:b w:val="0"/>
          <w:bCs/>
          <w:sz w:val="32"/>
          <w:szCs w:val="32"/>
          <w:highlight w:val="none"/>
          <w:u w:val="none"/>
          <w:lang w:val="en-US" w:eastAsia="zh-CN"/>
        </w:rPr>
        <w:t>衔接推进乡村振兴补助资金项目</w:t>
      </w:r>
      <w:r>
        <w:rPr>
          <w:rFonts w:hint="eastAsia" w:ascii="仿宋_GB2312" w:hAnsi="仿宋_GB2312" w:eastAsia="仿宋_GB2312" w:cs="仿宋_GB2312"/>
          <w:b w:val="0"/>
          <w:bCs/>
          <w:sz w:val="32"/>
          <w:szCs w:val="32"/>
          <w:highlight w:val="none"/>
          <w:lang w:val="en-US" w:eastAsia="zh-CN"/>
        </w:rPr>
        <w:t>自查情况，</w:t>
      </w:r>
      <w:r>
        <w:rPr>
          <w:rFonts w:hint="eastAsia" w:ascii="仿宋_GB2312" w:hAnsi="仿宋_GB2312" w:eastAsia="仿宋_GB2312" w:cs="仿宋_GB2312"/>
          <w:b w:val="0"/>
          <w:bCs/>
          <w:w w:val="95"/>
          <w:sz w:val="32"/>
          <w:szCs w:val="32"/>
          <w:highlight w:val="none"/>
          <w:lang w:eastAsia="zh-CN"/>
        </w:rPr>
        <w:t>重点检查</w:t>
      </w:r>
      <w:r>
        <w:rPr>
          <w:rFonts w:hint="eastAsia" w:ascii="仿宋_GB2312" w:hAnsi="仿宋_GB2312" w:eastAsia="仿宋_GB2312" w:cs="仿宋_GB2312"/>
          <w:b w:val="0"/>
          <w:bCs/>
          <w:w w:val="95"/>
          <w:sz w:val="32"/>
          <w:szCs w:val="32"/>
          <w:highlight w:val="none"/>
          <w:lang w:val="en-US" w:eastAsia="zh-CN"/>
        </w:rPr>
        <w:t>了</w:t>
      </w:r>
      <w:r>
        <w:rPr>
          <w:rFonts w:hint="eastAsia" w:ascii="仿宋_GB2312" w:hAnsi="仿宋_GB2312" w:eastAsia="仿宋_GB2312" w:cs="仿宋_GB2312"/>
          <w:b w:val="0"/>
          <w:bCs/>
          <w:w w:val="95"/>
          <w:sz w:val="32"/>
          <w:szCs w:val="32"/>
          <w:highlight w:val="none"/>
          <w:lang w:eastAsia="zh-CN"/>
        </w:rPr>
        <w:t>基础设施项目的工程质量、运营、管护和产业项目效益发挥带贫情况。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bCs/>
          <w:color w:val="000000" w:themeColor="text1"/>
          <w:kern w:val="2"/>
          <w:sz w:val="32"/>
          <w:szCs w:val="32"/>
          <w:highlight w:val="none"/>
          <w14:textFill>
            <w14:solidFill>
              <w14:schemeClr w14:val="tx1"/>
            </w14:solidFill>
          </w14:textFill>
        </w:rPr>
      </w:pPr>
      <w:r>
        <w:rPr>
          <w:rFonts w:hint="eastAsia" w:ascii="黑体" w:hAnsi="黑体" w:eastAsia="黑体" w:cs="黑体"/>
          <w:bCs/>
          <w:color w:val="000000" w:themeColor="text1"/>
          <w:kern w:val="2"/>
          <w:sz w:val="32"/>
          <w:szCs w:val="32"/>
          <w:highlight w:val="none"/>
          <w14:textFill>
            <w14:solidFill>
              <w14:schemeClr w14:val="tx1"/>
            </w14:solidFill>
          </w14:textFill>
        </w:rPr>
        <w:t>三、202</w:t>
      </w:r>
      <w:r>
        <w:rPr>
          <w:rFonts w:hint="eastAsia" w:ascii="黑体" w:hAnsi="黑体" w:eastAsia="黑体" w:cs="黑体"/>
          <w:bCs/>
          <w:color w:val="000000" w:themeColor="text1"/>
          <w:kern w:val="2"/>
          <w:sz w:val="32"/>
          <w:szCs w:val="32"/>
          <w:highlight w:val="none"/>
          <w:lang w:val="en-US" w:eastAsia="zh-CN"/>
          <w14:textFill>
            <w14:solidFill>
              <w14:schemeClr w14:val="tx1"/>
            </w14:solidFill>
          </w14:textFill>
        </w:rPr>
        <w:t>4</w:t>
      </w:r>
      <w:r>
        <w:rPr>
          <w:rFonts w:hint="eastAsia" w:ascii="黑体" w:hAnsi="黑体" w:eastAsia="黑体" w:cs="黑体"/>
          <w:bCs/>
          <w:color w:val="000000" w:themeColor="text1"/>
          <w:kern w:val="2"/>
          <w:sz w:val="32"/>
          <w:szCs w:val="32"/>
          <w:highlight w:val="none"/>
          <w14:textFill>
            <w14:solidFill>
              <w14:schemeClr w14:val="tx1"/>
            </w14:solidFill>
          </w14:textFill>
        </w:rPr>
        <w:t>年财政预算（草案）安排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年财政工作的指导思想：</w:t>
      </w:r>
      <w:r>
        <w:rPr>
          <w:rFonts w:hint="eastAsia" w:ascii="仿宋_GB2312" w:hAnsi="仿宋_GB2312" w:eastAsia="仿宋_GB2312" w:cs="仿宋_GB2312"/>
          <w:b/>
          <w:bCs/>
          <w:sz w:val="32"/>
          <w:szCs w:val="32"/>
        </w:rPr>
        <w:t>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_GB2312" w:cs="仿宋_GB2312"/>
          <w:color w:val="000000" w:themeColor="text1"/>
          <w:kern w:val="10"/>
          <w:sz w:val="32"/>
          <w:szCs w:val="32"/>
          <w:highlight w:val="yellow"/>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根据上述指导思想，综合考虑我区主要经济预期指标和财政收支增减因素，202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年全区财政收支预算拟安排如下：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kern w:val="2"/>
          <w:sz w:val="32"/>
          <w:szCs w:val="32"/>
          <w:highlight w:val="none"/>
        </w:rPr>
      </w:pPr>
      <w:r>
        <w:rPr>
          <w:rFonts w:hint="eastAsia" w:ascii="楷体" w:hAnsi="楷体" w:eastAsia="楷体" w:cs="楷体"/>
          <w:b w:val="0"/>
          <w:bCs w:val="0"/>
          <w:color w:val="auto"/>
          <w:kern w:val="2"/>
          <w:sz w:val="32"/>
          <w:szCs w:val="32"/>
          <w:highlight w:val="none"/>
        </w:rPr>
        <w:t>（一）一般公共预算拟安排情况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b/>
          <w:bCs/>
          <w:color w:val="000000" w:themeColor="text1"/>
          <w:kern w:val="10"/>
          <w:sz w:val="32"/>
          <w:szCs w:val="32"/>
          <w:highlight w:val="none"/>
          <w:u w:val="singl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1、一般公共预算收入拟安排情况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年全区一般公共预算收入拟安排1</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000万元，较上年完成数增长</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.5%。其中：税收收入</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91000</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万元，非税收入3</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9</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000万元。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ascii="仿宋_GB2312" w:hAnsi="仿宋_GB2312" w:eastAsia="仿宋_GB2312" w:cs="仿宋_GB2312"/>
          <w:b/>
          <w:bCs/>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10"/>
          <w:sz w:val="32"/>
          <w:szCs w:val="32"/>
          <w:highlight w:val="none"/>
          <w14:textFill>
            <w14:solidFill>
              <w14:schemeClr w14:val="tx1"/>
            </w14:solidFill>
          </w14:textFill>
        </w:rPr>
        <w:t>2、一般公共预算支出拟安排情况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年全区一般公共预算支出拟安排</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218986</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万元，较上年预算数增长</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kern w:val="2"/>
          <w:sz w:val="32"/>
          <w:szCs w:val="32"/>
          <w:highlight w:val="none"/>
        </w:rPr>
      </w:pPr>
      <w:r>
        <w:rPr>
          <w:rFonts w:hint="eastAsia" w:ascii="楷体" w:hAnsi="楷体" w:eastAsia="楷体" w:cs="楷体"/>
          <w:b w:val="0"/>
          <w:bCs w:val="0"/>
          <w:color w:val="auto"/>
          <w:kern w:val="2"/>
          <w:sz w:val="32"/>
          <w:szCs w:val="32"/>
          <w:highlight w:val="none"/>
        </w:rPr>
        <w:t>（二）政府性基金预算拟安排情况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年全区政府性基金预算收入拟安排</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00000万元，较上年</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完成</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数增长</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537.2</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年政府性基金预算支出拟安排2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58313</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万元，较上年预算数增长</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31.1</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kern w:val="2"/>
          <w:sz w:val="32"/>
          <w:szCs w:val="32"/>
          <w:highlight w:val="none"/>
        </w:rPr>
      </w:pPr>
      <w:r>
        <w:rPr>
          <w:rFonts w:hint="eastAsia" w:ascii="楷体" w:hAnsi="楷体" w:eastAsia="楷体" w:cs="楷体"/>
          <w:b w:val="0"/>
          <w:bCs w:val="0"/>
          <w:color w:val="auto"/>
          <w:kern w:val="2"/>
          <w:sz w:val="32"/>
          <w:szCs w:val="32"/>
          <w:highlight w:val="none"/>
        </w:rPr>
        <w:t>（三）社会保险基金预算拟安排情况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年城乡居民养老保险预算收入拟安排</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9433</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万元，社保基金预算支出拟安排</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7064</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万元，当年社保基金预算结余</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2369</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b w:val="0"/>
          <w:bCs w:val="0"/>
          <w:color w:val="auto"/>
          <w:kern w:val="2"/>
          <w:sz w:val="32"/>
          <w:szCs w:val="32"/>
          <w:highlight w:val="none"/>
        </w:rPr>
      </w:pPr>
      <w:r>
        <w:rPr>
          <w:rFonts w:hint="eastAsia" w:ascii="楷体" w:hAnsi="楷体" w:eastAsia="楷体" w:cs="楷体"/>
          <w:b w:val="0"/>
          <w:bCs w:val="0"/>
          <w:color w:val="auto"/>
          <w:kern w:val="2"/>
          <w:sz w:val="32"/>
          <w:szCs w:val="32"/>
          <w:highlight w:val="none"/>
        </w:rPr>
        <w:t>（四）预算草案批准前已支出情况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1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按照预算法要求，今年已支出</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33352</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万元，区级资金主要用于“三保”支出和其他应急性、重点领域项目支出</w:t>
      </w:r>
      <w:r>
        <w:rPr>
          <w:rFonts w:hint="eastAsia" w:ascii="仿宋_GB2312" w:hAnsi="仿宋_GB2312" w:eastAsia="仿宋_GB2312" w:cs="仿宋_GB2312"/>
          <w:color w:val="000000" w:themeColor="text1"/>
          <w:kern w:val="10"/>
          <w:sz w:val="32"/>
          <w:szCs w:val="32"/>
          <w:highlight w:val="none"/>
          <w:lang w:val="en-US" w:eastAsia="zh-CN"/>
          <w14:textFill>
            <w14:solidFill>
              <w14:schemeClr w14:val="tx1"/>
            </w14:solidFill>
          </w14:textFill>
        </w:rPr>
        <w:t>、债券项目支出</w:t>
      </w:r>
      <w:r>
        <w:rPr>
          <w:rFonts w:hint="eastAsia" w:ascii="仿宋_GB2312" w:hAnsi="仿宋_GB2312" w:eastAsia="仿宋_GB2312" w:cs="仿宋_GB2312"/>
          <w:color w:val="000000" w:themeColor="text1"/>
          <w:kern w:val="10"/>
          <w:sz w:val="32"/>
          <w:szCs w:val="32"/>
          <w:highlight w:val="none"/>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黑体" w:hAnsi="黑体" w:eastAsia="黑体" w:cs="黑体"/>
          <w:color w:val="000000" w:themeColor="text1"/>
          <w:kern w:val="10"/>
          <w:sz w:val="32"/>
          <w:szCs w:val="32"/>
          <w:highlight w:val="none"/>
          <w14:textFill>
            <w14:solidFill>
              <w14:schemeClr w14:val="tx1"/>
            </w14:solidFill>
          </w14:textFill>
        </w:rPr>
      </w:pPr>
      <w:r>
        <w:rPr>
          <w:rFonts w:hint="eastAsia" w:ascii="黑体" w:hAnsi="黑体" w:eastAsia="黑体" w:cs="黑体"/>
          <w:color w:val="000000" w:themeColor="text1"/>
          <w:kern w:val="10"/>
          <w:sz w:val="32"/>
          <w:szCs w:val="32"/>
          <w:highlight w:val="none"/>
          <w14:textFill>
            <w14:solidFill>
              <w14:schemeClr w14:val="tx1"/>
            </w14:solidFill>
          </w14:textFill>
        </w:rPr>
        <w:t>四、202</w:t>
      </w:r>
      <w:r>
        <w:rPr>
          <w:rFonts w:hint="eastAsia" w:ascii="黑体" w:hAnsi="黑体" w:eastAsia="黑体" w:cs="黑体"/>
          <w:color w:val="000000" w:themeColor="text1"/>
          <w:kern w:val="10"/>
          <w:sz w:val="32"/>
          <w:szCs w:val="32"/>
          <w:highlight w:val="none"/>
          <w:lang w:val="en-US" w:eastAsia="zh-CN"/>
          <w14:textFill>
            <w14:solidFill>
              <w14:schemeClr w14:val="tx1"/>
            </w14:solidFill>
          </w14:textFill>
        </w:rPr>
        <w:t>4</w:t>
      </w:r>
      <w:r>
        <w:rPr>
          <w:rFonts w:hint="eastAsia" w:ascii="黑体" w:hAnsi="黑体" w:eastAsia="黑体" w:cs="黑体"/>
          <w:color w:val="000000" w:themeColor="text1"/>
          <w:kern w:val="10"/>
          <w:sz w:val="32"/>
          <w:szCs w:val="32"/>
          <w:highlight w:val="none"/>
          <w14:textFill>
            <w14:solidFill>
              <w14:schemeClr w14:val="tx1"/>
            </w14:solidFill>
          </w14:textFill>
        </w:rPr>
        <w:t>年主要财政工作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000000" w:themeColor="text1"/>
          <w:kern w:val="2"/>
          <w:sz w:val="32"/>
          <w:szCs w:val="32"/>
          <w:highlight w:val="none"/>
          <w14:textFill>
            <w14:solidFill>
              <w14:schemeClr w14:val="tx1"/>
            </w14:solidFill>
          </w14:textFill>
        </w:rPr>
        <w:t>（一）</w:t>
      </w:r>
      <w:r>
        <w:rPr>
          <w:rFonts w:hint="eastAsia" w:ascii="楷体" w:hAnsi="楷体" w:eastAsia="楷体" w:cs="楷体"/>
          <w:color w:val="auto"/>
          <w:sz w:val="32"/>
          <w:szCs w:val="32"/>
          <w:lang w:val="en-US" w:eastAsia="zh-CN"/>
        </w:rPr>
        <w:t>挖潜堵漏，促进增收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Cs/>
          <w:color w:val="000000" w:themeColor="text1"/>
          <w:kern w:val="2"/>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财政与税务无缝对接，联合办公，依托综合治税机制指导和督促各单位按照既定目标确保圆满完成任务，确保税收“应收尽收、应入尽入”，功夫下到平时，加大日常收支研判，统筹合理安排税收工作。目标明确，任务清晰，压实属地政府财税主体责任，在全面细致进行税源排查征收的基础上，要下力气扩大域外税收入库范围和力度。挖存量、扩增量、争指标，对收入征管中出现的新情况、新问题，早预判、早谋划，提前制定好应对策略。千方百计盘活国有资产和资源，多渠道实现资源变资产，资产变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（二）提升财政管理现代化水平</w:t>
      </w: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落实税费优惠政策。</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实打实支持企业纾困发展，聚焦支持做优做强实体经济、促增收扩消费等方面，重点支持小微企业和个体工商户，稳步预期，提振信心，营造良好税收环境。</w:t>
      </w:r>
      <w:r>
        <w:rPr>
          <w:rFonts w:hint="eastAsia" w:ascii="仿宋_GB2312"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强化国有资产和资本管理。</w:t>
      </w:r>
      <w:r>
        <w:rPr>
          <w:rFonts w:hint="eastAsia" w:ascii="仿宋_GB2312"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加强行政事业性国有资产配置、使用、处置全生命周期管理，下大力气推进资产盘活</w:t>
      </w:r>
      <w:r>
        <w:rPr>
          <w:rFonts w:hint="eastAsia" w:ascii="仿宋_GB2312"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不断健全完善管理制度体系，</w:t>
      </w:r>
      <w:r>
        <w:rPr>
          <w:rFonts w:hint="eastAsia" w:ascii="仿宋_GB2312" w:hAnsi="仿宋_GB2312" w:eastAsia="仿宋_GB2312" w:cs="仿宋_GB2312"/>
          <w:spacing w:val="11"/>
          <w:sz w:val="32"/>
          <w:szCs w:val="32"/>
          <w:lang w:val="en-US" w:eastAsia="zh-CN"/>
        </w:rPr>
        <w:t>认真做好平台公司经营监管和指导工作，确保不出现系统性金融风险。</w:t>
      </w:r>
      <w:r>
        <w:rPr>
          <w:rFonts w:hint="eastAsia" w:ascii="仿宋_GB2312" w:hAnsi="Times New Roman" w:eastAsia="仿宋_GB2312" w:cs="Times New Roman"/>
          <w:b/>
          <w:bCs/>
          <w:color w:val="000000" w:themeColor="text1"/>
          <w:kern w:val="2"/>
          <w:sz w:val="32"/>
          <w:szCs w:val="32"/>
          <w:highlight w:val="none"/>
          <w:lang w:val="en-US" w:eastAsia="zh-CN" w:bidi="ar-SA"/>
          <w14:textFill>
            <w14:solidFill>
              <w14:schemeClr w14:val="tx1"/>
            </w14:solidFill>
          </w14:textFill>
        </w:rPr>
        <w:t>加强预算绩效管理。</w:t>
      </w:r>
      <w:r>
        <w:rPr>
          <w:rFonts w:hint="eastAsia" w:ascii="仿宋_GB2312"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坚持以全面预算绩效管理为主线，以全方位、全过程、全覆盖为抓手，强化事前、事中、事后预算绩效管理，增强财政资金使用效益，严格制度执行，将绩效管理融入预算编制、执行、公开全过程。</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做好会计管理工作。</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推进现代会计管理工作体系建设，推动会计管理高质量发展，健全企业会计准则闭环工作机制，完善政府会计准则体系，加快会计凭证数字化管理。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highlight w:val="none"/>
          <w14:textFill>
            <w14:solidFill>
              <w14:schemeClr w14:val="tx1"/>
            </w14:solidFill>
          </w14:textFill>
        </w:rPr>
        <w:t>（</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三</w:t>
      </w:r>
      <w:r>
        <w:rPr>
          <w:rFonts w:hint="eastAsia" w:ascii="楷体" w:hAnsi="楷体" w:eastAsia="楷体" w:cs="楷体"/>
          <w:color w:val="000000" w:themeColor="text1"/>
          <w:kern w:val="2"/>
          <w:sz w:val="32"/>
          <w:szCs w:val="32"/>
          <w:highlight w:val="none"/>
          <w14:textFill>
            <w14:solidFill>
              <w14:schemeClr w14:val="tx1"/>
            </w14:solidFill>
          </w14:textFill>
        </w:rPr>
        <w:t>）</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兜牢民生底线，增进民生福祉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坚持党政机关过紧日子的政治习惯，坚</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val="en-US" w:eastAsia="zh-CN"/>
        </w:rPr>
        <w:t>现金使用</w:t>
      </w:r>
      <w:r>
        <w:rPr>
          <w:rFonts w:hint="eastAsia" w:ascii="仿宋_GB2312" w:hAnsi="仿宋_GB2312" w:eastAsia="仿宋_GB2312" w:cs="仿宋_GB2312"/>
          <w:sz w:val="32"/>
          <w:szCs w:val="32"/>
        </w:rPr>
        <w:t>尽力而为、量力而行，兜住、兜准、兜牢民生底线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严控一般性支出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val="0"/>
          <w:color w:val="000000" w:themeColor="text1"/>
          <w:kern w:val="2"/>
          <w:sz w:val="32"/>
          <w:szCs w:val="32"/>
          <w:highlight w:val="none"/>
          <w:lang w:val="en-US" w:eastAsia="zh-CN"/>
          <w14:textFill>
            <w14:solidFill>
              <w14:schemeClr w14:val="tx1"/>
            </w14:solidFill>
          </w14:textFill>
        </w:rPr>
        <w:t>支持建设高质量教育体系。</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确保落实“一个一般不低于，两个只增不减”要求，研究完善义务教育经费保障机制，加快义务教育优质均衡发展，支持加大普惠性学前教育资源供给。</w:t>
      </w:r>
      <w:r>
        <w:rPr>
          <w:rFonts w:hint="eastAsia" w:ascii="仿宋_GB2312" w:hAnsi="仿宋_GB2312" w:eastAsia="仿宋_GB2312" w:cs="仿宋_GB2312"/>
          <w:b/>
          <w:bCs w:val="0"/>
          <w:color w:val="000000" w:themeColor="text1"/>
          <w:kern w:val="2"/>
          <w:sz w:val="32"/>
          <w:szCs w:val="32"/>
          <w:highlight w:val="none"/>
          <w:lang w:val="en-US" w:eastAsia="zh-CN"/>
          <w14:textFill>
            <w14:solidFill>
              <w14:schemeClr w14:val="tx1"/>
            </w14:solidFill>
          </w14:textFill>
        </w:rPr>
        <w:t>提高公共卫生服务能力。</w:t>
      </w:r>
      <w:r>
        <w:rPr>
          <w:rFonts w:hint="eastAsia" w:ascii="仿宋_GB2312" w:hAnsi="仿宋_GB2312" w:eastAsia="仿宋_GB2312" w:cs="仿宋_GB2312"/>
          <w:b w:val="0"/>
          <w:bCs/>
          <w:color w:val="000000" w:themeColor="text1"/>
          <w:kern w:val="2"/>
          <w:sz w:val="32"/>
          <w:szCs w:val="32"/>
          <w:highlight w:val="none"/>
          <w:lang w:val="en-US" w:eastAsia="zh-CN"/>
          <w14:textFill>
            <w14:solidFill>
              <w14:schemeClr w14:val="tx1"/>
            </w14:solidFill>
          </w14:textFill>
        </w:rPr>
        <w:t>加大力度支持健全公共卫生体系，适当提高居民医保财政补助标准，合理确定、规范调整医保待遇水平，防止超越基金承受能力，支持加强医疗卫生机构能力建设和卫生健康人才培养。</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健全社会保障体系。</w:t>
      </w:r>
      <w:r>
        <w:rPr>
          <w:rFonts w:hint="eastAsia" w:ascii="仿宋_GB2312" w:hAnsi="仿宋_GB2312" w:eastAsia="仿宋_GB2312" w:cs="仿宋_GB2312"/>
          <w:sz w:val="32"/>
          <w:szCs w:val="32"/>
        </w:rPr>
        <w:t>更加突出就业优先导向，确保重点群体就业稳定。织密扎牢社会保障网，健全分层分类的社会救助体系。加快完善生育支持政策体系，发展银发经济，推动人口高质量发展。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color w:val="000000" w:themeColor="text1"/>
          <w:kern w:val="2"/>
          <w:sz w:val="32"/>
          <w:szCs w:val="32"/>
          <w:highlight w:val="none"/>
          <w:lang w:val="en-US" w:eastAsia="zh-CN"/>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（四）坚持不懈助力“三农”工作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学习运用“千万工程”经验，有力有效推进乡村全面振兴，以确保国家粮食安全、确保不发生规模性返贫为底线，以提升乡村产业发展水平、提升乡村建设水平、提升乡村治理水平为重点，强化科技和改革双轮驱动，强化农民增收举措，建设宜居宜业和美乡村。毫不放松抓好粮食等重要农产品稳定安全供给，提高高标准农田建设投入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 w:hAnsi="楷体" w:eastAsia="楷体" w:cs="楷体"/>
          <w:color w:val="000000" w:themeColor="text1"/>
          <w:kern w:val="2"/>
          <w:sz w:val="32"/>
          <w:szCs w:val="32"/>
          <w:highlight w:val="none"/>
          <w:lang w:val="en-US"/>
          <w14:textFill>
            <w14:solidFill>
              <w14:schemeClr w14:val="tx1"/>
            </w14:solidFill>
          </w14:textFill>
        </w:rPr>
      </w:pPr>
      <w:r>
        <w:rPr>
          <w:rFonts w:hint="eastAsia" w:ascii="楷体" w:hAnsi="楷体" w:eastAsia="楷体" w:cs="楷体"/>
          <w:color w:val="000000" w:themeColor="text1"/>
          <w:kern w:val="2"/>
          <w:sz w:val="32"/>
          <w:szCs w:val="32"/>
          <w:highlight w:val="none"/>
          <w14:textFill>
            <w14:solidFill>
              <w14:schemeClr w14:val="tx1"/>
            </w14:solidFill>
          </w14:textFill>
        </w:rPr>
        <w:t>（</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五</w:t>
      </w:r>
      <w:r>
        <w:rPr>
          <w:rFonts w:hint="eastAsia" w:ascii="楷体" w:hAnsi="楷体" w:eastAsia="楷体" w:cs="楷体"/>
          <w:color w:val="000000" w:themeColor="text1"/>
          <w:kern w:val="2"/>
          <w:sz w:val="32"/>
          <w:szCs w:val="32"/>
          <w:highlight w:val="none"/>
          <w14:textFill>
            <w14:solidFill>
              <w14:schemeClr w14:val="tx1"/>
            </w14:solidFill>
          </w14:textFill>
        </w:rPr>
        <w:t>）</w:t>
      </w:r>
      <w:r>
        <w:rPr>
          <w:rFonts w:hint="eastAsia" w:ascii="楷体" w:hAnsi="楷体" w:eastAsia="楷体" w:cs="楷体"/>
          <w:color w:val="000000" w:themeColor="text1"/>
          <w:kern w:val="2"/>
          <w:sz w:val="32"/>
          <w:szCs w:val="32"/>
          <w:highlight w:val="none"/>
          <w:lang w:val="en-US" w:eastAsia="zh-CN"/>
          <w14:textFill>
            <w14:solidFill>
              <w14:schemeClr w14:val="tx1"/>
            </w14:solidFill>
          </w14:textFill>
        </w:rPr>
        <w:t>积极稳妥防范化解风险隐患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加强专项债券项目储备。</w:t>
      </w:r>
      <w:r>
        <w:rPr>
          <w:rFonts w:hint="eastAsia" w:ascii="仿宋_GB2312" w:hAnsi="仿宋_GB2312" w:eastAsia="仿宋_GB2312" w:cs="仿宋_GB2312"/>
          <w:b w:val="0"/>
          <w:bCs w:val="0"/>
          <w:sz w:val="32"/>
          <w:szCs w:val="32"/>
          <w:highlight w:val="none"/>
        </w:rPr>
        <w:t>提升资金使用效益，发挥债券资金重要作用，加强项目谋划，</w:t>
      </w:r>
      <w:r>
        <w:rPr>
          <w:rFonts w:hint="eastAsia" w:ascii="仿宋_GB2312" w:hAnsi="仿宋_GB2312" w:eastAsia="仿宋_GB2312" w:cs="仿宋_GB2312"/>
          <w:sz w:val="32"/>
          <w:szCs w:val="32"/>
        </w:rPr>
        <w:t>合理扩大地方政府专项债券用作资本金范围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深入分析研究国家政策方向、资金投向，找准与我区发展的结合点，围绕</w:t>
      </w:r>
      <w:r>
        <w:rPr>
          <w:rFonts w:hint="eastAsia" w:ascii="仿宋_GB2312" w:hAnsi="仿宋_GB2312" w:eastAsia="仿宋_GB2312" w:cs="仿宋_GB2312"/>
          <w:b w:val="0"/>
          <w:bCs w:val="0"/>
          <w:sz w:val="32"/>
          <w:szCs w:val="32"/>
          <w:highlight w:val="none"/>
        </w:rPr>
        <w:t>产业园区类项目</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重点领域谋划，提高我区专项债项目储备质量。</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优化项目服务保障。</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督促项目单位大力推进项目建设进度，加强财政资金调度保障，对于达到支付进度的项目，尽快审批支付手续，确保资金足额、及时到位，切实提高专项债券资金支出进度。</w:t>
      </w:r>
      <w:r>
        <w:rPr>
          <w:rFonts w:hint="eastAsia" w:ascii="仿宋_GB2312" w:hAnsi="仿宋_GB2312" w:eastAsia="仿宋_GB2312" w:cs="仿宋_GB2312"/>
          <w:b/>
          <w:bCs/>
          <w:color w:val="000000" w:themeColor="text1"/>
          <w:kern w:val="2"/>
          <w:sz w:val="32"/>
          <w:szCs w:val="32"/>
          <w:highlight w:val="none"/>
          <w:lang w:val="en-US" w:eastAsia="zh-CN"/>
          <w14:textFill>
            <w14:solidFill>
              <w14:schemeClr w14:val="tx1"/>
            </w14:solidFill>
          </w14:textFill>
        </w:rPr>
        <w:t>打好项目建设战。</w:t>
      </w:r>
      <w:r>
        <w:rPr>
          <w:rFonts w:hint="eastAsia" w:ascii="仿宋_GB2312" w:hAnsi="仿宋_GB2312" w:eastAsia="仿宋_GB2312" w:cs="仿宋_GB2312"/>
          <w:b w:val="0"/>
          <w:bCs w:val="0"/>
          <w:color w:val="000000" w:themeColor="text1"/>
          <w:kern w:val="2"/>
          <w:sz w:val="32"/>
          <w:szCs w:val="32"/>
          <w:highlight w:val="none"/>
          <w:lang w:val="en-US" w:eastAsia="zh-CN"/>
          <w14:textFill>
            <w14:solidFill>
              <w14:schemeClr w14:val="tx1"/>
            </w14:solidFill>
          </w14:textFill>
        </w:rPr>
        <w:t>抓住项目建设的黄金期、收官期，用足用好国家和省一揽子稳经济政策措施，聚焦项目签约落地、开工、投产等关键环节，积极做好资金要素保障，切实推动稳经济大盘各项措施落地见效。</w:t>
      </w:r>
      <w:r>
        <w:rPr>
          <w:rFonts w:hint="eastAsia" w:ascii="仿宋_GB2312" w:hAnsi="仿宋_GB2312" w:eastAsia="仿宋_GB2312" w:cs="仿宋_GB2312"/>
          <w:b/>
          <w:bCs/>
          <w:color w:val="auto"/>
          <w:sz w:val="32"/>
          <w:szCs w:val="32"/>
          <w:lang w:val="en-US" w:eastAsia="zh-CN"/>
        </w:rPr>
        <w:t>加强专项债务统筹管理。</w:t>
      </w:r>
      <w:r>
        <w:rPr>
          <w:rFonts w:hint="eastAsia" w:ascii="仿宋_GB2312" w:hAnsi="仿宋_GB2312" w:eastAsia="仿宋_GB2312" w:cs="仿宋_GB2312"/>
          <w:color w:val="auto"/>
          <w:sz w:val="32"/>
          <w:szCs w:val="32"/>
          <w:lang w:val="en-US" w:eastAsia="zh-CN"/>
        </w:rPr>
        <w:t>确保政府债务按时还本付息，强化专项债券“借用管还”全流程管理，提高债券项目储备质量，不断提高资金使用效率，制定还本付息计划，确保按时偿还政府债券本息，坚决维护政府信誉。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Helvetica Neue" w:hAnsi="Helvetica Neue" w:cs="Helvetica Neue"/>
          <w:kern w:val="0"/>
          <w:sz w:val="24"/>
          <w:highlight w:val="none"/>
          <w:lang w:val="en-US"/>
        </w:rPr>
      </w:pPr>
      <w:r>
        <w:rPr>
          <w:rFonts w:hint="eastAsia" w:ascii="仿宋_GB2312" w:hAnsi="仿宋" w:eastAsia="仿宋_GB2312" w:cs="Times New Roman"/>
          <w:color w:val="000000" w:themeColor="text1"/>
          <w:kern w:val="2"/>
          <w:sz w:val="32"/>
          <w:szCs w:val="32"/>
          <w:highlight w:val="none"/>
          <w:lang w:val="en-US" w:eastAsia="zh-CN" w:bidi="ar-SA"/>
          <w14:textFill>
            <w14:solidFill>
              <w14:schemeClr w14:val="tx1"/>
            </w14:solidFill>
          </w14:textFill>
        </w:rPr>
        <w:t>路虽远，行则将至，事虽难，做则必成。我们将在区委正确领导下，在区人大监督指导下，</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en-US" w:eastAsia="zh-CN"/>
        </w:rPr>
        <w:t>全力以赴抓落实，以实干为要的精神</w:t>
      </w:r>
      <w:r>
        <w:rPr>
          <w:rFonts w:hint="eastAsia" w:ascii="仿宋_GB2312" w:hAnsi="仿宋_GB2312" w:eastAsia="仿宋_GB2312" w:cs="仿宋_GB2312"/>
          <w:sz w:val="32"/>
          <w:szCs w:val="32"/>
        </w:rPr>
        <w:t>，努力开创财政工作新局面，</w:t>
      </w:r>
      <w:r>
        <w:rPr>
          <w:rFonts w:hint="eastAsia" w:ascii="仿宋_GB2312" w:hAnsi="仿宋" w:eastAsia="仿宋_GB2312" w:cs="Times New Roman"/>
          <w:color w:val="000000" w:themeColor="text1"/>
          <w:kern w:val="2"/>
          <w:sz w:val="32"/>
          <w:szCs w:val="32"/>
          <w:highlight w:val="none"/>
          <w:lang w:val="en-US" w:eastAsia="zh-CN" w:bidi="ar-SA"/>
          <w14:textFill>
            <w14:solidFill>
              <w14:schemeClr w14:val="tx1"/>
            </w14:solidFill>
          </w14:textFill>
        </w:rPr>
        <w:t>全力完成各项财政工作任务，为龙安区经济高质量发展做出新贡献。</w:t>
      </w:r>
    </w:p>
    <w:p>
      <w:pPr>
        <w:pStyle w:val="2"/>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Neu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ZTcwMjdmYjdkZjcwMjVkMjUzMWMyZjA0ODRjYTEifQ=="/>
  </w:docVars>
  <w:rsids>
    <w:rsidRoot w:val="0B4E5706"/>
    <w:rsid w:val="0B4E5706"/>
    <w:rsid w:val="194701E0"/>
    <w:rsid w:val="233D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Body Text"/>
    <w:basedOn w:val="1"/>
    <w:qFormat/>
    <w:uiPriority w:val="99"/>
    <w:pPr>
      <w:widowControl w:val="0"/>
      <w:jc w:val="center"/>
    </w:pPr>
    <w:rPr>
      <w:rFonts w:ascii="华文中宋" w:hAnsi="Times New Roman" w:eastAsia="华文中宋" w:cs="Times New Roman"/>
      <w:b/>
      <w:bCs/>
      <w:kern w:val="2"/>
      <w:sz w:val="44"/>
      <w:szCs w:val="36"/>
      <w:lang w:val="en-US" w:eastAsia="zh-CN" w:bidi="ar-SA"/>
    </w:rPr>
  </w:style>
  <w:style w:type="paragraph" w:styleId="4">
    <w:name w:val="Body Text Indent"/>
    <w:basedOn w:val="1"/>
    <w:autoRedefine/>
    <w:qFormat/>
    <w:uiPriority w:val="0"/>
    <w:pPr>
      <w:spacing w:after="120"/>
      <w:ind w:left="420" w:leftChars="200"/>
    </w:pPr>
    <w:rPr>
      <w:rFonts w:ascii="Times New Roman" w:hAnsi="Times New Roman" w:eastAsia="宋体"/>
    </w:rPr>
  </w:style>
  <w:style w:type="paragraph" w:styleId="5">
    <w:name w:val="Body Text First Indent"/>
    <w:basedOn w:val="3"/>
    <w:qFormat/>
    <w:uiPriority w:val="0"/>
    <w:pPr>
      <w:widowControl w:val="0"/>
      <w:ind w:firstLine="420" w:firstLineChars="100"/>
      <w:jc w:val="center"/>
    </w:pPr>
    <w:rPr>
      <w:rFonts w:ascii="华文中宋" w:hAnsi="Times New Roman" w:eastAsia="华文中宋" w:cs="Times New Roman"/>
      <w:kern w:val="2"/>
      <w:sz w:val="44"/>
      <w:szCs w:val="36"/>
      <w:lang w:val="en-US" w:eastAsia="zh-CN" w:bidi="ar-SA"/>
    </w:rPr>
  </w:style>
  <w:style w:type="paragraph" w:styleId="6">
    <w:name w:val="Body Text First Indent 2"/>
    <w:basedOn w:val="4"/>
    <w:next w:val="5"/>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7237</Words>
  <Characters>7905</Characters>
  <Lines>0</Lines>
  <Paragraphs>0</Paragraphs>
  <TotalTime>2</TotalTime>
  <ScaleCrop>false</ScaleCrop>
  <LinksUpToDate>false</LinksUpToDate>
  <CharactersWithSpaces>7908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2024-03-07T01:43:00Z</dcterms:created>
  <dc:creator>月牙呀</dc:creator>
  <cp:lastModifiedBy>LAQ-zfb</cp:lastModifiedBy>
  <dcterms:modified xsi:type="dcterms:W3CDTF">2024-05-28T08:09:57Z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CD07E33547F14E688CCE32DA7CA0CB88_11</vt:lpwstr>
  </property>
</Properties>
</file>