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24CC">
      <w:pPr>
        <w:adjustRightInd w:val="0"/>
        <w:snapToGrid w:val="0"/>
        <w:spacing w:line="360" w:lineRule="auto"/>
        <w:jc w:val="center"/>
        <w:rPr>
          <w:rFonts w:ascii="方正小标宋简体" w:hAnsi="Times New Roman" w:eastAsia="方正小标宋简体"/>
          <w:b/>
          <w:sz w:val="72"/>
          <w:szCs w:val="72"/>
        </w:rPr>
      </w:pPr>
    </w:p>
    <w:p w14:paraId="7F67CDD4">
      <w:pPr>
        <w:adjustRightInd w:val="0"/>
        <w:snapToGrid w:val="0"/>
        <w:spacing w:line="360" w:lineRule="auto"/>
        <w:jc w:val="center"/>
        <w:rPr>
          <w:rFonts w:ascii="宋体" w:hAnsi="宋体"/>
          <w:b/>
          <w:color w:val="FF0000"/>
          <w:sz w:val="72"/>
          <w:szCs w:val="72"/>
        </w:rPr>
      </w:pPr>
      <w:r>
        <w:rPr>
          <w:rFonts w:hint="eastAsia" w:ascii="宋体" w:hAnsi="宋体"/>
          <w:b/>
          <w:sz w:val="72"/>
          <w:szCs w:val="72"/>
        </w:rPr>
        <w:t>安阳市龙安区统计局</w:t>
      </w:r>
    </w:p>
    <w:p w14:paraId="53D324A9">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23年度部门预算公开说明</w:t>
      </w:r>
    </w:p>
    <w:p w14:paraId="06DA5E0F">
      <w:pPr>
        <w:adjustRightInd w:val="0"/>
        <w:snapToGrid w:val="0"/>
        <w:spacing w:line="360" w:lineRule="auto"/>
        <w:jc w:val="center"/>
        <w:rPr>
          <w:rFonts w:ascii="方正小标宋简体" w:hAnsi="Times New Roman" w:eastAsia="方正小标宋简体"/>
          <w:b/>
          <w:sz w:val="84"/>
          <w:szCs w:val="84"/>
        </w:rPr>
      </w:pPr>
    </w:p>
    <w:p w14:paraId="56F203F9">
      <w:pPr>
        <w:adjustRightInd w:val="0"/>
        <w:snapToGrid w:val="0"/>
        <w:spacing w:line="360" w:lineRule="auto"/>
        <w:jc w:val="center"/>
        <w:rPr>
          <w:rFonts w:ascii="方正小标宋简体" w:hAnsi="Times New Roman" w:eastAsia="方正小标宋简体"/>
          <w:b/>
          <w:sz w:val="84"/>
          <w:szCs w:val="84"/>
        </w:rPr>
      </w:pPr>
    </w:p>
    <w:p w14:paraId="7DF66B51">
      <w:pPr>
        <w:adjustRightInd w:val="0"/>
        <w:snapToGrid w:val="0"/>
        <w:spacing w:line="360" w:lineRule="auto"/>
        <w:rPr>
          <w:rFonts w:ascii="方正小标宋简体" w:hAnsi="Times New Roman" w:eastAsia="方正小标宋简体"/>
          <w:b/>
          <w:sz w:val="84"/>
          <w:szCs w:val="84"/>
        </w:rPr>
      </w:pPr>
    </w:p>
    <w:p w14:paraId="41319F65">
      <w:pPr>
        <w:kinsoku w:val="0"/>
        <w:overflowPunct w:val="0"/>
        <w:adjustRightInd w:val="0"/>
        <w:snapToGrid w:val="0"/>
        <w:spacing w:line="360" w:lineRule="auto"/>
        <w:ind w:left="101" w:leftChars="48" w:right="-58" w:firstLine="2831" w:firstLineChars="641"/>
        <w:rPr>
          <w:rFonts w:ascii="宋体" w:hAnsi="宋体"/>
          <w:b/>
          <w:sz w:val="44"/>
          <w:szCs w:val="44"/>
        </w:rPr>
      </w:pPr>
      <w:r>
        <w:rPr>
          <w:rFonts w:hint="eastAsia" w:ascii="宋体" w:hAnsi="宋体"/>
          <w:b/>
          <w:sz w:val="44"/>
          <w:szCs w:val="44"/>
        </w:rPr>
        <w:t>2023年7月15日</w:t>
      </w:r>
    </w:p>
    <w:p w14:paraId="7E39F6F3">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206762CB">
      <w:pPr>
        <w:kinsoku w:val="0"/>
        <w:overflowPunct w:val="0"/>
        <w:adjustRightInd w:val="0"/>
        <w:snapToGrid w:val="0"/>
        <w:spacing w:line="360" w:lineRule="auto"/>
        <w:rPr>
          <w:rFonts w:ascii="黑体" w:hAnsi="Times New Roman" w:eastAsia="黑体" w:cs="黑体"/>
          <w:sz w:val="56"/>
          <w:szCs w:val="56"/>
        </w:rPr>
      </w:pPr>
    </w:p>
    <w:p w14:paraId="7BC85862">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08375F3A">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4A982DB8">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7D668F03">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7D40222C">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23年度部门预算情况说明</w:t>
      </w:r>
    </w:p>
    <w:p w14:paraId="3FF6F15B">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7407B562">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57BF59CA">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71BC2A92">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14:paraId="48884E34">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0BCF808D">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14:paraId="63286F5C">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七、一般公共预算“三公”经费支出预算情况说明</w:t>
      </w:r>
    </w:p>
    <w:p w14:paraId="7B631ECD">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八、政府性基金预算支出情况说明</w:t>
      </w:r>
    </w:p>
    <w:p w14:paraId="0D5874C6">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14:paraId="7D5BA91D">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00739E21">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 xml:space="preserve">第四部分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23年度部门预算表</w:t>
      </w:r>
    </w:p>
    <w:p w14:paraId="3CFCBEB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25A295CD">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43289D16">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6EAE72C2">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52803609">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599DA766">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1BAAFEE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083D26C0">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6F9DEE7E">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115EE766">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4BB66F0B">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14:paraId="6FCEDBE6">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十二、部门预算项目绩效目标表</w:t>
      </w:r>
    </w:p>
    <w:p w14:paraId="4F9F3E1B">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14:paraId="6EDD79F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1445F7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D99442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C75ADE9">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7FBEC4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F1804C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CDB60E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23BC079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12FD1AD">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4377F5D">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914143F">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1FA1D2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BC92294">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9EA84C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A64B2D8">
      <w:pPr>
        <w:kinsoku w:val="0"/>
        <w:overflowPunct w:val="0"/>
        <w:adjustRightInd w:val="0"/>
        <w:snapToGrid w:val="0"/>
        <w:spacing w:line="360" w:lineRule="auto"/>
        <w:ind w:right="51"/>
        <w:jc w:val="left"/>
        <w:rPr>
          <w:rFonts w:ascii="仿宋_GB2312" w:eastAsia="仿宋_GB2312"/>
          <w:sz w:val="32"/>
          <w:szCs w:val="32"/>
        </w:rPr>
      </w:pPr>
    </w:p>
    <w:p w14:paraId="6CB1C79C">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288949CE">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3FB228B3">
      <w:pPr>
        <w:adjustRightInd w:val="0"/>
        <w:snapToGrid w:val="0"/>
        <w:spacing w:line="360" w:lineRule="auto"/>
        <w:ind w:firstLine="640" w:firstLineChars="200"/>
        <w:jc w:val="center"/>
        <w:rPr>
          <w:rFonts w:ascii="黑体" w:hAnsi="黑体" w:eastAsia="黑体"/>
          <w:sz w:val="32"/>
          <w:szCs w:val="32"/>
        </w:rPr>
      </w:pPr>
    </w:p>
    <w:p w14:paraId="0AF4F32C">
      <w:pPr>
        <w:numPr>
          <w:ilvl w:val="0"/>
          <w:numId w:val="1"/>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14:paraId="10BE5EB6">
      <w:pPr>
        <w:adjustRightInd w:val="0"/>
        <w:snapToGrid w:val="0"/>
        <w:spacing w:line="360" w:lineRule="auto"/>
        <w:ind w:firstLine="640" w:firstLineChars="200"/>
        <w:rPr>
          <w:rFonts w:ascii="仿宋_GB2312" w:eastAsia="仿宋_GB2312"/>
          <w:sz w:val="32"/>
          <w:szCs w:val="32"/>
        </w:rPr>
      </w:pPr>
      <w:r>
        <w:rPr>
          <w:rFonts w:hint="eastAsia" w:ascii="黑体" w:hAnsi="黑体" w:eastAsia="黑体"/>
          <w:bCs/>
          <w:sz w:val="32"/>
          <w:szCs w:val="32"/>
        </w:rPr>
        <w:t>1、</w:t>
      </w:r>
      <w:r>
        <w:rPr>
          <w:rFonts w:hint="eastAsia" w:ascii="仿宋_GB2312" w:eastAsia="仿宋_GB2312"/>
          <w:sz w:val="32"/>
          <w:szCs w:val="32"/>
        </w:rPr>
        <w:t>组织领导和协调指导全区统计工作，确保统计数据真实准确、完整及时；贯彻执行国家、省、市统计政策、规划、基本统计制度和统计标准；贯彻执行国家、省、市统计法律、法规及规章，起草统计方面规范性文件草案，制定部门规范性文件；负责基本单位名录库建设和维护管理。</w:t>
      </w:r>
    </w:p>
    <w:p w14:paraId="46F99025">
      <w:pPr>
        <w:adjustRightInd w:val="0"/>
        <w:snapToGrid w:val="0"/>
        <w:spacing w:line="360" w:lineRule="auto"/>
        <w:ind w:firstLine="640" w:firstLineChars="200"/>
        <w:rPr>
          <w:rFonts w:ascii="仿宋" w:hAnsi="仿宋" w:eastAsia="仿宋" w:cs="仿宋"/>
          <w:spacing w:val="8"/>
          <w:w w:val="98"/>
          <w:sz w:val="32"/>
          <w:szCs w:val="32"/>
          <w:shd w:val="clear" w:color="auto" w:fill="FFFFFF"/>
        </w:rPr>
      </w:pPr>
      <w:r>
        <w:rPr>
          <w:rFonts w:hint="eastAsia" w:ascii="黑体" w:hAnsi="黑体" w:eastAsia="黑体"/>
          <w:bCs/>
          <w:sz w:val="32"/>
          <w:szCs w:val="32"/>
        </w:rPr>
        <w:t>2、</w:t>
      </w:r>
      <w:r>
        <w:rPr>
          <w:rFonts w:hint="eastAsia" w:ascii="仿宋_GB2312" w:hAnsi="仿宋_GB2312" w:eastAsia="仿宋_GB2312" w:cs="仿宋_GB2312"/>
          <w:sz w:val="32"/>
          <w:szCs w:val="32"/>
          <w:shd w:val="clear" w:color="auto" w:fill="FFFFFF"/>
        </w:rPr>
        <w:t>组织实施对全区统计工作的监督检查，</w:t>
      </w:r>
      <w:r>
        <w:rPr>
          <w:rFonts w:hint="eastAsia" w:ascii="仿宋_GB2312" w:hAnsi="仿宋_GB2312" w:eastAsia="仿宋_GB2312" w:cs="仿宋_GB2312"/>
          <w:spacing w:val="8"/>
          <w:w w:val="98"/>
          <w:sz w:val="32"/>
          <w:szCs w:val="32"/>
          <w:shd w:val="clear" w:color="auto" w:fill="FFFFFF"/>
        </w:rPr>
        <w:t>组织协调全区执法工作，负责提出统计违纪违法责任人处分处理建议，承担法律法规赋予区级统计行政部门履行的其他执法职责，监督指导乡（镇、办事处）统计行政执法工作。</w:t>
      </w:r>
    </w:p>
    <w:p w14:paraId="5787EA74">
      <w:pPr>
        <w:ind w:firstLine="640" w:firstLineChars="200"/>
        <w:rPr>
          <w:rFonts w:ascii="仿宋_GB2312" w:eastAsia="仿宋_GB2312"/>
          <w:sz w:val="32"/>
          <w:szCs w:val="32"/>
        </w:rPr>
      </w:pPr>
      <w:r>
        <w:rPr>
          <w:rFonts w:hint="eastAsia" w:ascii="黑体" w:hAnsi="黑体" w:eastAsia="黑体"/>
          <w:bCs/>
          <w:sz w:val="32"/>
          <w:szCs w:val="32"/>
        </w:rPr>
        <w:t>3、</w:t>
      </w:r>
      <w:r>
        <w:rPr>
          <w:rFonts w:hint="eastAsia" w:ascii="仿宋_GB2312" w:eastAsia="仿宋_GB2312"/>
          <w:sz w:val="32"/>
          <w:szCs w:val="32"/>
        </w:rPr>
        <w:t>贯彻执行国家、省、市国民经济核算制度，配合国家、省、市统计局核算全区生产总值，组织核算各乡（镇、办事处）生产总值，监督管理各乡(镇、办事处）国民经济核算工作。</w:t>
      </w:r>
    </w:p>
    <w:p w14:paraId="7E94E82B">
      <w:pPr>
        <w:ind w:firstLine="640" w:firstLineChars="200"/>
        <w:rPr>
          <w:rFonts w:ascii="仿宋_GB2312" w:eastAsia="仿宋_GB2312"/>
          <w:sz w:val="32"/>
          <w:szCs w:val="32"/>
        </w:rPr>
      </w:pPr>
      <w:r>
        <w:rPr>
          <w:rFonts w:hint="eastAsia" w:ascii="黑体" w:hAnsi="黑体" w:eastAsia="黑体"/>
          <w:bCs/>
          <w:sz w:val="32"/>
          <w:szCs w:val="32"/>
        </w:rPr>
        <w:t>4、</w:t>
      </w:r>
      <w:r>
        <w:rPr>
          <w:rFonts w:hint="eastAsia" w:ascii="仿宋_GB2312" w:eastAsia="仿宋_GB2312"/>
          <w:sz w:val="32"/>
          <w:szCs w:val="32"/>
        </w:rPr>
        <w:t>会同有关部门贯彻落实全国重大国情国力普查计划、方案，组织实施全区人口、经济、农业等国情国力普查和投入产出调查等大型专项调查，汇总、整理和提供有关国情国力方面的统计数据。</w:t>
      </w:r>
    </w:p>
    <w:p w14:paraId="77DE8B2B">
      <w:pPr>
        <w:ind w:firstLine="640" w:firstLineChars="200"/>
        <w:rPr>
          <w:rFonts w:ascii="仿宋" w:hAnsi="仿宋" w:eastAsia="仿宋" w:cs="仿宋"/>
          <w:spacing w:val="8"/>
          <w:w w:val="98"/>
          <w:kern w:val="0"/>
          <w:sz w:val="32"/>
          <w:szCs w:val="32"/>
        </w:rPr>
      </w:pPr>
      <w:r>
        <w:rPr>
          <w:rFonts w:hint="eastAsia" w:ascii="黑体" w:hAnsi="黑体" w:eastAsia="黑体"/>
          <w:bCs/>
          <w:sz w:val="32"/>
          <w:szCs w:val="32"/>
        </w:rPr>
        <w:t>5、</w:t>
      </w:r>
      <w:r>
        <w:rPr>
          <w:rFonts w:hint="eastAsia" w:ascii="仿宋_GB2312" w:hAnsi="仿宋_GB2312" w:eastAsia="仿宋_GB2312" w:cs="仿宋_GB2312"/>
          <w:spacing w:val="8"/>
          <w:w w:val="98"/>
          <w:kern w:val="0"/>
          <w:sz w:val="32"/>
          <w:szCs w:val="32"/>
        </w:rPr>
        <w:t>组织实施农林牧渔业、工业、建筑业、批发和零售业、住宿和餐饮业、房地产业、装卸搬运和仓储业、互联网和相关服务、软件和信息技术服务业、租赁和商务服务业、居民服务、修理和其他服务业、文化体育和娱乐业等统计调查,组织实施能源、投资、人口、劳动工资、科技、企业创新、文化产业、社会发展基本情况、环境基本状况等统计调查，收集、汇总、整理和提供有关调查的统计数据；综合整理和提供地质勘查、资源、房屋、对外贸易、对外经济、交通运输、邮政、信息传输、财政金融税收、旅游、教育、卫生、社会保障、公用事业等全市性基本统计数据。</w:t>
      </w:r>
    </w:p>
    <w:p w14:paraId="4BA56B87">
      <w:pPr>
        <w:spacing w:line="600" w:lineRule="exact"/>
        <w:ind w:firstLine="640" w:firstLineChars="200"/>
        <w:rPr>
          <w:rFonts w:ascii="仿宋" w:hAnsi="仿宋" w:eastAsia="仿宋" w:cs="仿宋"/>
          <w:spacing w:val="8"/>
          <w:w w:val="98"/>
          <w:kern w:val="0"/>
          <w:sz w:val="32"/>
          <w:szCs w:val="32"/>
        </w:rPr>
      </w:pPr>
      <w:r>
        <w:rPr>
          <w:rFonts w:hint="eastAsia" w:ascii="黑体" w:hAnsi="黑体" w:eastAsia="黑体"/>
          <w:bCs/>
          <w:sz w:val="32"/>
          <w:szCs w:val="32"/>
        </w:rPr>
        <w:t>6、</w:t>
      </w:r>
      <w:r>
        <w:rPr>
          <w:rFonts w:hint="eastAsia" w:ascii="仿宋_GB2312" w:hAnsi="仿宋_GB2312" w:eastAsia="仿宋_GB2312" w:cs="仿宋_GB2312"/>
          <w:spacing w:val="8"/>
          <w:w w:val="98"/>
          <w:kern w:val="0"/>
          <w:sz w:val="32"/>
          <w:szCs w:val="32"/>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开展调查情况分析研究；组织实施重要统计监测评价考核和社情民意调查。</w:t>
      </w:r>
    </w:p>
    <w:p w14:paraId="773A4936">
      <w:pPr>
        <w:ind w:firstLine="640" w:firstLineChars="200"/>
        <w:rPr>
          <w:rFonts w:ascii="仿宋_GB2312" w:eastAsia="仿宋_GB2312"/>
          <w:sz w:val="32"/>
          <w:szCs w:val="32"/>
        </w:rPr>
      </w:pPr>
      <w:r>
        <w:rPr>
          <w:rFonts w:hint="eastAsia" w:ascii="黑体" w:hAnsi="黑体" w:eastAsia="黑体"/>
          <w:bCs/>
          <w:sz w:val="32"/>
          <w:szCs w:val="32"/>
        </w:rPr>
        <w:t>7、</w:t>
      </w:r>
      <w:r>
        <w:rPr>
          <w:rFonts w:hint="eastAsia" w:ascii="仿宋_GB2312" w:eastAsia="仿宋_GB2312"/>
          <w:sz w:val="32"/>
          <w:szCs w:val="32"/>
        </w:rPr>
        <w:t>组织各乡(镇、办事处）、区政府各部门的经济、社会、科技和资源环境统计调查；统一核定、管理、公布全区性基本统计资料，定期发布全区国民经济和社会发展情况的统计信息。</w:t>
      </w:r>
    </w:p>
    <w:p w14:paraId="506F4636">
      <w:pPr>
        <w:ind w:firstLine="640" w:firstLineChars="200"/>
        <w:rPr>
          <w:rFonts w:ascii="仿宋_GB2312" w:eastAsia="仿宋_GB2312"/>
          <w:sz w:val="32"/>
          <w:szCs w:val="32"/>
        </w:rPr>
      </w:pPr>
      <w:r>
        <w:rPr>
          <w:rFonts w:hint="eastAsia" w:ascii="黑体" w:hAnsi="黑体" w:eastAsia="黑体"/>
          <w:bCs/>
          <w:sz w:val="32"/>
          <w:szCs w:val="32"/>
        </w:rPr>
        <w:t>8、</w:t>
      </w:r>
      <w:r>
        <w:rPr>
          <w:rFonts w:hint="eastAsia" w:ascii="仿宋_GB2312" w:eastAsia="仿宋_GB2312"/>
          <w:sz w:val="32"/>
          <w:szCs w:val="32"/>
        </w:rPr>
        <w:t>对国民经济、社会发展、科技进步和资源环境等情况进行统计分析、统计预测和统计监督；向区委、区政府及有关部门提供统计信息和咨询建议。</w:t>
      </w:r>
    </w:p>
    <w:p w14:paraId="56F5A1EE">
      <w:pPr>
        <w:ind w:firstLine="640" w:firstLineChars="200"/>
        <w:rPr>
          <w:rFonts w:ascii="仿宋_GB2312" w:hAnsi="仿宋_GB2312" w:eastAsia="仿宋_GB2312" w:cs="仿宋_GB2312"/>
          <w:sz w:val="32"/>
          <w:szCs w:val="32"/>
        </w:rPr>
      </w:pPr>
      <w:r>
        <w:rPr>
          <w:rFonts w:hint="eastAsia" w:ascii="黑体" w:hAnsi="黑体" w:eastAsia="黑体"/>
          <w:bCs/>
          <w:sz w:val="32"/>
          <w:szCs w:val="32"/>
        </w:rPr>
        <w:t>9、</w:t>
      </w:r>
      <w:r>
        <w:rPr>
          <w:rFonts w:hint="eastAsia" w:ascii="仿宋_GB2312" w:hAnsi="仿宋_GB2312" w:eastAsia="仿宋_GB2312" w:cs="仿宋_GB2312"/>
          <w:sz w:val="32"/>
          <w:szCs w:val="32"/>
        </w:rPr>
        <w:t>制定全区统计调查计划，负责区市统计调查项目的管理；</w:t>
      </w:r>
      <w:r>
        <w:rPr>
          <w:rFonts w:hint="eastAsia" w:ascii="仿宋_GB2312" w:hAnsi="仿宋_GB2312" w:eastAsia="仿宋_GB2312" w:cs="仿宋_GB2312"/>
          <w:spacing w:val="8"/>
          <w:w w:val="98"/>
          <w:kern w:val="0"/>
          <w:sz w:val="32"/>
          <w:szCs w:val="32"/>
        </w:rPr>
        <w:t>依法备案区级各部门统计调查项目、地方统计调查项目;</w:t>
      </w:r>
      <w:r>
        <w:rPr>
          <w:rFonts w:hint="eastAsia" w:ascii="仿宋_GB2312" w:hAnsi="仿宋_GB2312" w:eastAsia="仿宋_GB2312" w:cs="仿宋_GB2312"/>
          <w:sz w:val="32"/>
          <w:szCs w:val="32"/>
        </w:rPr>
        <w:t>指导专业统计基础工作、统计基层业务基础建设；组织建立全区服务业统计信息共享制度和发布制度；建立健全统计数据质量审核、监控和评估制度，开展对重要统计数据的审核、监控和评估；</w:t>
      </w:r>
      <w:r>
        <w:rPr>
          <w:rFonts w:hint="eastAsia" w:ascii="仿宋_GB2312" w:hAnsi="仿宋_GB2312" w:eastAsia="仿宋_GB2312" w:cs="仿宋_GB2312"/>
          <w:spacing w:val="8"/>
          <w:w w:val="98"/>
          <w:kern w:val="0"/>
          <w:sz w:val="32"/>
          <w:szCs w:val="32"/>
        </w:rPr>
        <w:t>依法监督管理涉外调查活动。</w:t>
      </w:r>
    </w:p>
    <w:p w14:paraId="7C64EF74">
      <w:pPr>
        <w:ind w:firstLine="640" w:firstLineChars="200"/>
        <w:rPr>
          <w:rFonts w:ascii="仿宋_GB2312" w:eastAsia="仿宋_GB2312"/>
          <w:sz w:val="32"/>
          <w:szCs w:val="32"/>
        </w:rPr>
      </w:pPr>
      <w:r>
        <w:rPr>
          <w:rFonts w:hint="eastAsia" w:ascii="黑体" w:hAnsi="黑体" w:eastAsia="黑体"/>
          <w:bCs/>
          <w:sz w:val="32"/>
          <w:szCs w:val="32"/>
        </w:rPr>
        <w:t>10、</w:t>
      </w:r>
      <w:r>
        <w:rPr>
          <w:rFonts w:hint="eastAsia" w:ascii="仿宋_GB2312" w:eastAsia="仿宋_GB2312"/>
          <w:sz w:val="32"/>
          <w:szCs w:val="32"/>
        </w:rPr>
        <w:t>协助各乡(镇、办事处)管理统计站站长；指导全区统计专业技术队伍建设；协助有关部门组织管理统计专业技术资格考试、职务评聘工作。</w:t>
      </w:r>
    </w:p>
    <w:p w14:paraId="6EF3F8DF">
      <w:pPr>
        <w:ind w:firstLine="640" w:firstLineChars="200"/>
        <w:rPr>
          <w:rFonts w:ascii="仿宋_GB2312" w:eastAsia="仿宋_GB2312"/>
          <w:sz w:val="32"/>
          <w:szCs w:val="32"/>
        </w:rPr>
      </w:pPr>
      <w:r>
        <w:rPr>
          <w:rFonts w:hint="eastAsia" w:ascii="黑体" w:hAnsi="黑体" w:eastAsia="黑体"/>
          <w:bCs/>
          <w:sz w:val="32"/>
          <w:szCs w:val="32"/>
        </w:rPr>
        <w:t>11、</w:t>
      </w:r>
      <w:r>
        <w:rPr>
          <w:rFonts w:hint="eastAsia" w:ascii="仿宋_GB2312" w:eastAsia="仿宋_GB2312"/>
          <w:sz w:val="32"/>
          <w:szCs w:val="32"/>
        </w:rPr>
        <w:t>管理全区统计信息自动化系统和统计数据库系统，组织制定各乡(镇、办事处）、区政府各部门统计数据库和网络的基本标准和运行规则；指导各乡(镇、办事处)统计信息自动化系统建设。</w:t>
      </w:r>
    </w:p>
    <w:p w14:paraId="1D347615">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bCs/>
          <w:sz w:val="32"/>
          <w:szCs w:val="32"/>
        </w:rPr>
        <w:t>12、</w:t>
      </w:r>
      <w:r>
        <w:rPr>
          <w:rFonts w:hint="eastAsia" w:ascii="仿宋_GB2312" w:hAnsi="仿宋_GB2312" w:eastAsia="仿宋_GB2312" w:cs="仿宋_GB2312"/>
          <w:spacing w:val="11"/>
          <w:sz w:val="32"/>
          <w:szCs w:val="32"/>
        </w:rPr>
        <w:t>完成区委、区政府交办的其他任务</w:t>
      </w:r>
      <w:r>
        <w:rPr>
          <w:rFonts w:hint="eastAsia" w:ascii="仿宋_GB2312" w:hAnsi="仿宋_GB2312" w:eastAsia="仿宋_GB2312" w:cs="仿宋_GB2312"/>
          <w:sz w:val="32"/>
          <w:szCs w:val="32"/>
        </w:rPr>
        <w:t>。</w:t>
      </w:r>
    </w:p>
    <w:p w14:paraId="2EA0D106">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3962E5E8">
      <w:pPr>
        <w:pStyle w:val="2"/>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rPr>
        <w:t>本部门预算包括机关本级预算和下级所属单位预算。我单位内设3个机构，</w:t>
      </w:r>
      <w:r>
        <w:rPr>
          <w:rFonts w:hint="eastAsia" w:ascii="仿宋_GB2312" w:hAnsi="仿宋_GB2312" w:eastAsia="仿宋_GB2312" w:cs="仿宋_GB2312"/>
          <w:kern w:val="0"/>
          <w:sz w:val="32"/>
          <w:szCs w:val="32"/>
        </w:rPr>
        <w:t>包括：办公室、第二产业科、第三产业科。</w:t>
      </w:r>
      <w:r>
        <w:rPr>
          <w:rFonts w:hint="eastAsia" w:ascii="仿宋_GB2312" w:hAnsi="宋体" w:eastAsia="仿宋_GB2312" w:cs="宋体"/>
          <w:sz w:val="32"/>
          <w:szCs w:val="32"/>
        </w:rPr>
        <w:t>本部门预算为汇总预算，有二级机构1个，三级预算单位0个。纳入2023年度部门预算编报范围的预算单位如下：</w:t>
      </w:r>
      <w:r>
        <w:rPr>
          <w:rFonts w:ascii="仿宋_GB2312" w:hAnsi="宋体" w:eastAsia="仿宋_GB2312" w:cs="宋体"/>
          <w:sz w:val="32"/>
          <w:szCs w:val="32"/>
        </w:rPr>
        <w:t xml:space="preserve"> </w:t>
      </w:r>
    </w:p>
    <w:p w14:paraId="42497318">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1、安阳市龙安区统计局（本级）</w:t>
      </w:r>
    </w:p>
    <w:p w14:paraId="31F086E4">
      <w:pPr>
        <w:pStyle w:val="2"/>
        <w:spacing w:line="360" w:lineRule="auto"/>
        <w:ind w:firstLine="640" w:firstLineChars="200"/>
        <w:rPr>
          <w:rFonts w:ascii="黑体" w:hAnsi="Times New Roman" w:eastAsia="仿宋_GB2312" w:cs="黑体"/>
          <w:sz w:val="32"/>
          <w:szCs w:val="32"/>
        </w:rPr>
      </w:pPr>
      <w:r>
        <w:rPr>
          <w:rFonts w:hint="eastAsia" w:ascii="仿宋_GB2312" w:hAnsi="宋体" w:eastAsia="仿宋_GB2312" w:cs="宋体"/>
          <w:sz w:val="32"/>
          <w:szCs w:val="32"/>
        </w:rPr>
        <w:t xml:space="preserve">2、地方社会经济调查队（二级） </w:t>
      </w:r>
    </w:p>
    <w:p w14:paraId="5E8F8B75">
      <w:pPr>
        <w:adjustRightInd w:val="0"/>
        <w:snapToGrid w:val="0"/>
        <w:spacing w:line="360" w:lineRule="auto"/>
        <w:jc w:val="center"/>
        <w:rPr>
          <w:rFonts w:ascii="黑体" w:hAnsi="Times New Roman" w:eastAsia="黑体" w:cs="黑体"/>
          <w:sz w:val="32"/>
          <w:szCs w:val="32"/>
        </w:rPr>
      </w:pPr>
    </w:p>
    <w:p w14:paraId="07548832">
      <w:pPr>
        <w:adjustRightInd w:val="0"/>
        <w:snapToGrid w:val="0"/>
        <w:spacing w:line="360" w:lineRule="auto"/>
        <w:jc w:val="center"/>
        <w:rPr>
          <w:rFonts w:ascii="黑体" w:hAnsi="Times New Roman" w:eastAsia="黑体" w:cs="黑体"/>
          <w:sz w:val="32"/>
          <w:szCs w:val="32"/>
        </w:rPr>
      </w:pPr>
    </w:p>
    <w:p w14:paraId="2C570D70">
      <w:pPr>
        <w:adjustRightInd w:val="0"/>
        <w:snapToGrid w:val="0"/>
        <w:spacing w:line="360" w:lineRule="auto"/>
        <w:jc w:val="center"/>
        <w:rPr>
          <w:rFonts w:ascii="黑体" w:hAnsi="Times New Roman" w:eastAsia="黑体" w:cs="黑体"/>
          <w:sz w:val="32"/>
          <w:szCs w:val="32"/>
        </w:rPr>
      </w:pPr>
    </w:p>
    <w:p w14:paraId="5E5C462C">
      <w:pPr>
        <w:adjustRightInd w:val="0"/>
        <w:snapToGrid w:val="0"/>
        <w:spacing w:line="360" w:lineRule="auto"/>
        <w:jc w:val="center"/>
        <w:rPr>
          <w:rFonts w:ascii="黑体" w:hAnsi="Times New Roman" w:eastAsia="黑体" w:cs="黑体"/>
          <w:sz w:val="32"/>
          <w:szCs w:val="32"/>
        </w:rPr>
      </w:pPr>
    </w:p>
    <w:p w14:paraId="5D55F3C4">
      <w:pPr>
        <w:adjustRightInd w:val="0"/>
        <w:snapToGrid w:val="0"/>
        <w:spacing w:line="360" w:lineRule="auto"/>
        <w:jc w:val="center"/>
        <w:rPr>
          <w:rFonts w:ascii="黑体" w:hAnsi="Times New Roman" w:eastAsia="黑体" w:cs="黑体"/>
          <w:sz w:val="32"/>
          <w:szCs w:val="32"/>
        </w:rPr>
      </w:pPr>
    </w:p>
    <w:p w14:paraId="5DA74051">
      <w:pPr>
        <w:adjustRightInd w:val="0"/>
        <w:snapToGrid w:val="0"/>
        <w:spacing w:line="360" w:lineRule="auto"/>
        <w:jc w:val="center"/>
        <w:rPr>
          <w:rFonts w:ascii="黑体" w:hAnsi="Times New Roman" w:eastAsia="黑体" w:cs="黑体"/>
          <w:sz w:val="32"/>
          <w:szCs w:val="32"/>
        </w:rPr>
      </w:pPr>
    </w:p>
    <w:p w14:paraId="5971D7A7">
      <w:pPr>
        <w:adjustRightInd w:val="0"/>
        <w:snapToGrid w:val="0"/>
        <w:spacing w:line="360" w:lineRule="auto"/>
        <w:jc w:val="center"/>
        <w:rPr>
          <w:rFonts w:ascii="黑体" w:hAnsi="Times New Roman" w:eastAsia="黑体" w:cs="黑体"/>
          <w:sz w:val="32"/>
          <w:szCs w:val="32"/>
        </w:rPr>
      </w:pPr>
    </w:p>
    <w:p w14:paraId="4C262913">
      <w:pPr>
        <w:adjustRightInd w:val="0"/>
        <w:snapToGrid w:val="0"/>
        <w:spacing w:line="360" w:lineRule="auto"/>
        <w:jc w:val="center"/>
        <w:rPr>
          <w:rFonts w:ascii="黑体" w:hAnsi="Times New Roman" w:eastAsia="黑体" w:cs="黑体"/>
          <w:sz w:val="32"/>
          <w:szCs w:val="32"/>
        </w:rPr>
      </w:pPr>
    </w:p>
    <w:p w14:paraId="349FBAFF">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14:paraId="3A4F0C8E">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23年度部门预算情况说明</w:t>
      </w:r>
    </w:p>
    <w:p w14:paraId="47F536B1">
      <w:pPr>
        <w:adjustRightInd w:val="0"/>
        <w:snapToGrid w:val="0"/>
        <w:spacing w:line="360" w:lineRule="auto"/>
        <w:ind w:firstLine="640" w:firstLineChars="200"/>
        <w:rPr>
          <w:rFonts w:ascii="黑体" w:hAnsi="黑体" w:eastAsia="黑体"/>
          <w:sz w:val="32"/>
          <w:szCs w:val="32"/>
        </w:rPr>
      </w:pPr>
    </w:p>
    <w:p w14:paraId="28421C81">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7951C789">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23年收入总计</w:t>
      </w:r>
      <w:r>
        <w:rPr>
          <w:rFonts w:hint="eastAsia" w:ascii="仿宋_GB2312" w:eastAsia="仿宋_GB2312"/>
          <w:sz w:val="32"/>
          <w:szCs w:val="32"/>
        </w:rPr>
        <w:t>276.57</w:t>
      </w:r>
      <w:r>
        <w:rPr>
          <w:rFonts w:hint="eastAsia" w:ascii="仿宋_GB2312" w:hAnsi="宋体" w:eastAsia="仿宋_GB2312" w:cs="Courier New"/>
          <w:sz w:val="32"/>
          <w:szCs w:val="32"/>
        </w:rPr>
        <w:t>万元，支出总计</w:t>
      </w:r>
      <w:r>
        <w:rPr>
          <w:rFonts w:hint="eastAsia" w:ascii="仿宋_GB2312" w:eastAsia="仿宋_GB2312"/>
          <w:sz w:val="32"/>
          <w:szCs w:val="32"/>
        </w:rPr>
        <w:t>276.57</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22年相比，收支总计各增加</w:t>
      </w:r>
      <w:r>
        <w:rPr>
          <w:rFonts w:hint="eastAsia" w:ascii="仿宋_GB2312" w:eastAsia="仿宋_GB2312"/>
          <w:sz w:val="32"/>
          <w:szCs w:val="32"/>
        </w:rPr>
        <w:t>35.06</w:t>
      </w:r>
      <w:r>
        <w:rPr>
          <w:rFonts w:hint="eastAsia" w:ascii="仿宋_GB2312" w:hAnsi="宋体" w:eastAsia="仿宋_GB2312" w:cs="Courier New"/>
          <w:sz w:val="32"/>
          <w:szCs w:val="32"/>
        </w:rPr>
        <w:t>万元，增长</w:t>
      </w:r>
      <w:r>
        <w:rPr>
          <w:rFonts w:hint="eastAsia" w:ascii="仿宋_GB2312" w:eastAsia="仿宋_GB2312"/>
          <w:sz w:val="32"/>
          <w:szCs w:val="32"/>
        </w:rPr>
        <w:t>14.52</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eastAsia="仿宋_GB2312"/>
          <w:sz w:val="32"/>
          <w:szCs w:val="32"/>
        </w:rPr>
        <w:t>人员增加</w:t>
      </w:r>
      <w:r>
        <w:rPr>
          <w:rFonts w:hint="eastAsia" w:ascii="仿宋_GB2312" w:hAnsi="宋体" w:eastAsia="仿宋_GB2312" w:cs="Courier New"/>
          <w:sz w:val="32"/>
          <w:szCs w:val="32"/>
        </w:rPr>
        <w:t>。</w:t>
      </w:r>
    </w:p>
    <w:p w14:paraId="3B6C288E">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14:paraId="7F601054">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Times New Roman" w:eastAsia="仿宋_GB2312"/>
          <w:sz w:val="32"/>
          <w:szCs w:val="32"/>
        </w:rPr>
        <w:t>年收入合计</w:t>
      </w:r>
      <w:r>
        <w:rPr>
          <w:rFonts w:hint="eastAsia" w:ascii="仿宋_GB2312" w:eastAsia="仿宋_GB2312"/>
          <w:sz w:val="32"/>
          <w:szCs w:val="32"/>
        </w:rPr>
        <w:t>276.57</w:t>
      </w:r>
      <w:r>
        <w:rPr>
          <w:rFonts w:hint="eastAsia" w:ascii="仿宋_GB2312" w:hAnsi="Times New Roman" w:eastAsia="仿宋_GB2312"/>
          <w:sz w:val="32"/>
          <w:szCs w:val="32"/>
        </w:rPr>
        <w:t>万元，</w:t>
      </w:r>
      <w:r>
        <w:rPr>
          <w:rFonts w:hint="eastAsia" w:ascii="仿宋_GB2312" w:eastAsia="仿宋_GB2312"/>
          <w:sz w:val="32"/>
          <w:szCs w:val="32"/>
        </w:rPr>
        <w:t>其中：一般公共预算276.57万元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w:t>
      </w:r>
      <w:r>
        <w:rPr>
          <w:rFonts w:hint="eastAsia" w:ascii="仿宋_GB2312" w:eastAsia="仿宋_GB2312"/>
          <w:sz w:val="32"/>
          <w:szCs w:val="32"/>
        </w:rPr>
        <w:t>0</w:t>
      </w:r>
      <w:r>
        <w:rPr>
          <w:rFonts w:hint="eastAsia" w:ascii="仿宋_GB2312" w:hAnsi="Times New Roman" w:eastAsia="仿宋_GB2312"/>
          <w:sz w:val="32"/>
          <w:szCs w:val="32"/>
        </w:rPr>
        <w:t>万元；专户管理的教育收费</w:t>
      </w:r>
      <w:r>
        <w:rPr>
          <w:rFonts w:hint="eastAsia" w:ascii="仿宋_GB2312" w:eastAsia="仿宋_GB2312"/>
          <w:sz w:val="32"/>
          <w:szCs w:val="32"/>
        </w:rPr>
        <w:t>0</w:t>
      </w:r>
      <w:r>
        <w:rPr>
          <w:rFonts w:hint="eastAsia" w:ascii="仿宋_GB2312" w:hAnsi="Times New Roman" w:eastAsia="仿宋_GB2312"/>
          <w:sz w:val="32"/>
          <w:szCs w:val="32"/>
        </w:rPr>
        <w:t>万元；国有资本经营预算收入</w:t>
      </w:r>
      <w:r>
        <w:rPr>
          <w:rFonts w:hint="eastAsia" w:ascii="仿宋_GB2312" w:eastAsia="仿宋_GB2312"/>
          <w:sz w:val="32"/>
          <w:szCs w:val="32"/>
        </w:rPr>
        <w:t>0</w:t>
      </w:r>
      <w:r>
        <w:rPr>
          <w:rFonts w:hint="eastAsia" w:ascii="仿宋_GB2312" w:hAnsi="Times New Roman" w:eastAsia="仿宋_GB2312"/>
          <w:sz w:val="32"/>
          <w:szCs w:val="32"/>
        </w:rPr>
        <w:t>万元；事业收入</w:t>
      </w:r>
      <w:r>
        <w:rPr>
          <w:rFonts w:hint="eastAsia" w:ascii="仿宋_GB2312" w:eastAsia="仿宋_GB2312"/>
          <w:sz w:val="32"/>
          <w:szCs w:val="32"/>
        </w:rPr>
        <w:t>0</w:t>
      </w:r>
      <w:r>
        <w:rPr>
          <w:rFonts w:hint="eastAsia" w:ascii="仿宋_GB2312" w:hAnsi="Times New Roman" w:eastAsia="仿宋_GB2312"/>
          <w:sz w:val="32"/>
          <w:szCs w:val="32"/>
        </w:rPr>
        <w:t>万元；经营收入</w:t>
      </w:r>
      <w:r>
        <w:rPr>
          <w:rFonts w:hint="eastAsia" w:ascii="仿宋_GB2312" w:eastAsia="仿宋_GB2312"/>
          <w:sz w:val="32"/>
          <w:szCs w:val="32"/>
        </w:rPr>
        <w:t>0</w:t>
      </w:r>
      <w:r>
        <w:rPr>
          <w:rFonts w:hint="eastAsia" w:ascii="仿宋_GB2312" w:hAnsi="Times New Roman" w:eastAsia="仿宋_GB2312"/>
          <w:sz w:val="32"/>
          <w:szCs w:val="32"/>
        </w:rPr>
        <w:t>万元；其他收入</w:t>
      </w:r>
      <w:r>
        <w:rPr>
          <w:rFonts w:hint="eastAsia" w:ascii="仿宋_GB2312" w:eastAsia="仿宋_GB2312"/>
          <w:sz w:val="32"/>
          <w:szCs w:val="32"/>
        </w:rPr>
        <w:t>0</w:t>
      </w:r>
      <w:r>
        <w:rPr>
          <w:rFonts w:hint="eastAsia" w:ascii="仿宋_GB2312" w:hAnsi="Times New Roman" w:eastAsia="仿宋_GB2312"/>
          <w:sz w:val="32"/>
          <w:szCs w:val="32"/>
        </w:rPr>
        <w:t>万元。</w:t>
      </w:r>
    </w:p>
    <w:p w14:paraId="6BFA0680">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14:paraId="0C5974CC">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年支出合计</w:t>
      </w:r>
      <w:r>
        <w:rPr>
          <w:rFonts w:hint="eastAsia" w:ascii="仿宋_GB2312" w:eastAsia="仿宋_GB2312"/>
          <w:sz w:val="32"/>
          <w:szCs w:val="32"/>
        </w:rPr>
        <w:t>276.57</w:t>
      </w:r>
      <w:r>
        <w:rPr>
          <w:rFonts w:hint="eastAsia" w:ascii="仿宋_GB2312" w:hAnsi="宋体" w:eastAsia="仿宋_GB2312" w:cs="Courier New"/>
          <w:sz w:val="32"/>
          <w:szCs w:val="32"/>
        </w:rPr>
        <w:t>万元，其中：基本支出</w:t>
      </w:r>
      <w:r>
        <w:rPr>
          <w:rFonts w:hint="eastAsia" w:ascii="仿宋_GB2312" w:eastAsia="仿宋_GB2312"/>
          <w:sz w:val="32"/>
          <w:szCs w:val="32"/>
        </w:rPr>
        <w:t>230.57</w:t>
      </w:r>
      <w:r>
        <w:rPr>
          <w:rFonts w:hint="eastAsia" w:ascii="仿宋_GB2312" w:hAnsi="宋体" w:eastAsia="仿宋_GB2312" w:cs="Courier New"/>
          <w:sz w:val="32"/>
          <w:szCs w:val="32"/>
        </w:rPr>
        <w:t>万元，占</w:t>
      </w:r>
      <w:r>
        <w:rPr>
          <w:rFonts w:hint="eastAsia" w:ascii="仿宋_GB2312" w:eastAsia="仿宋_GB2312"/>
          <w:sz w:val="32"/>
          <w:szCs w:val="32"/>
        </w:rPr>
        <w:t>83.37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46</w:t>
      </w:r>
      <w:r>
        <w:rPr>
          <w:rFonts w:hint="eastAsia" w:ascii="仿宋_GB2312" w:hAnsi="宋体" w:eastAsia="仿宋_GB2312" w:cs="Courier New"/>
          <w:sz w:val="32"/>
          <w:szCs w:val="32"/>
        </w:rPr>
        <w:t>万元，占</w:t>
      </w:r>
      <w:r>
        <w:rPr>
          <w:rFonts w:hint="eastAsia" w:ascii="仿宋_GB2312" w:eastAsia="仿宋_GB2312"/>
          <w:sz w:val="32"/>
          <w:szCs w:val="32"/>
        </w:rPr>
        <w:t>16.63</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7A13850E">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14:paraId="4C15DBEE">
      <w:pPr>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年一般公共预算收支预算</w:t>
      </w:r>
      <w:r>
        <w:rPr>
          <w:rFonts w:hint="eastAsia" w:ascii="仿宋_GB2312" w:eastAsia="仿宋_GB2312"/>
          <w:sz w:val="32"/>
          <w:szCs w:val="32"/>
        </w:rPr>
        <w:t>276.57</w:t>
      </w:r>
      <w:r>
        <w:rPr>
          <w:rFonts w:hint="eastAsia" w:ascii="仿宋_GB2312" w:hAnsi="宋体" w:eastAsia="仿宋_GB2312" w:cs="Courier New"/>
          <w:sz w:val="32"/>
          <w:szCs w:val="32"/>
        </w:rPr>
        <w:t>万元，政府性基金收支预算</w:t>
      </w:r>
      <w:r>
        <w:rPr>
          <w:rFonts w:hint="eastAsia" w:ascii="仿宋_GB2312" w:eastAsia="仿宋_GB2312"/>
          <w:sz w:val="32"/>
          <w:szCs w:val="32"/>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22年相比，一般公共预算收支预算增加35.06万元，增长14.52</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eastAsia="仿宋_GB2312"/>
          <w:sz w:val="32"/>
          <w:szCs w:val="32"/>
        </w:rPr>
        <w:t>人员增加。</w:t>
      </w:r>
      <w:r>
        <w:rPr>
          <w:rFonts w:hint="eastAsia" w:ascii="仿宋_GB2312" w:hAnsi="宋体" w:eastAsia="仿宋_GB2312" w:cs="Courier New"/>
          <w:sz w:val="32"/>
          <w:szCs w:val="32"/>
        </w:rPr>
        <w:t>政府性基金收支预算增加0万元，增长0</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2CE6B173">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14:paraId="5242806A">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年一般公共预算支出年初预算为</w:t>
      </w:r>
      <w:r>
        <w:rPr>
          <w:rFonts w:hint="eastAsia" w:ascii="仿宋_GB2312" w:eastAsia="仿宋_GB2312"/>
          <w:sz w:val="32"/>
          <w:szCs w:val="32"/>
        </w:rPr>
        <w:t>276.57</w:t>
      </w:r>
      <w:r>
        <w:rPr>
          <w:rFonts w:hint="eastAsia" w:ascii="仿宋_GB2312" w:hAnsi="宋体" w:eastAsia="仿宋_GB2312" w:cs="Courier New"/>
          <w:sz w:val="32"/>
          <w:szCs w:val="32"/>
        </w:rPr>
        <w:t>万元，其中：基本支出</w:t>
      </w:r>
      <w:r>
        <w:rPr>
          <w:rFonts w:hint="eastAsia" w:ascii="仿宋_GB2312" w:eastAsia="仿宋_GB2312"/>
          <w:sz w:val="32"/>
          <w:szCs w:val="32"/>
        </w:rPr>
        <w:t>230.57</w:t>
      </w:r>
      <w:r>
        <w:rPr>
          <w:rFonts w:hint="eastAsia" w:ascii="仿宋_GB2312" w:hAnsi="宋体" w:eastAsia="仿宋_GB2312" w:cs="Courier New"/>
          <w:sz w:val="32"/>
          <w:szCs w:val="32"/>
        </w:rPr>
        <w:t>万元，占</w:t>
      </w:r>
      <w:r>
        <w:rPr>
          <w:rFonts w:hint="eastAsia" w:ascii="仿宋_GB2312" w:eastAsia="仿宋_GB2312"/>
          <w:sz w:val="32"/>
          <w:szCs w:val="32"/>
        </w:rPr>
        <w:t>83.37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rPr>
        <w:t>46</w:t>
      </w:r>
      <w:r>
        <w:rPr>
          <w:rFonts w:hint="eastAsia" w:ascii="仿宋_GB2312" w:hAnsi="宋体" w:eastAsia="仿宋_GB2312" w:cs="Courier New"/>
          <w:sz w:val="32"/>
          <w:szCs w:val="32"/>
        </w:rPr>
        <w:t>万元，占</w:t>
      </w:r>
      <w:r>
        <w:rPr>
          <w:rFonts w:hint="eastAsia" w:ascii="仿宋_GB2312" w:eastAsia="仿宋_GB2312"/>
          <w:sz w:val="32"/>
          <w:szCs w:val="32"/>
        </w:rPr>
        <w:t>16.63</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6090D54C">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一般公共预算基本支出情况说明</w:t>
      </w:r>
      <w:r>
        <w:rPr>
          <w:rFonts w:ascii="黑体" w:hAnsi="黑体" w:eastAsia="黑体"/>
          <w:color w:val="FF0000"/>
          <w:sz w:val="32"/>
          <w:szCs w:val="32"/>
        </w:rPr>
        <w:t xml:space="preserve">                   </w:t>
      </w:r>
    </w:p>
    <w:p w14:paraId="5BE790DD">
      <w:pPr>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年一般公共预算基本支出年初预算为</w:t>
      </w:r>
      <w:r>
        <w:rPr>
          <w:rFonts w:hint="eastAsia" w:ascii="仿宋_GB2312" w:eastAsia="仿宋_GB2312"/>
          <w:sz w:val="32"/>
          <w:szCs w:val="32"/>
        </w:rPr>
        <w:t>230.57</w:t>
      </w:r>
      <w:r>
        <w:rPr>
          <w:rFonts w:hint="eastAsia" w:ascii="仿宋_GB2312" w:hAnsi="宋体" w:eastAsia="仿宋_GB2312" w:cs="Courier New"/>
          <w:sz w:val="32"/>
          <w:szCs w:val="32"/>
        </w:rPr>
        <w:t>万元，其中：人员经费</w:t>
      </w:r>
      <w:r>
        <w:rPr>
          <w:rFonts w:hint="eastAsia" w:ascii="仿宋_GB2312" w:eastAsia="仿宋_GB2312"/>
          <w:sz w:val="32"/>
          <w:szCs w:val="32"/>
          <w:lang w:val="en-US" w:eastAsia="zh-CN"/>
        </w:rPr>
        <w:t>201.56</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87.42</w:t>
      </w:r>
      <w:r>
        <w:rPr>
          <w:rFonts w:ascii="仿宋_GB2312" w:hAnsi="宋体" w:eastAsia="仿宋_GB2312" w:cs="Courier New"/>
          <w:sz w:val="32"/>
          <w:szCs w:val="32"/>
        </w:rPr>
        <w:t>%</w:t>
      </w:r>
      <w:r>
        <w:rPr>
          <w:rFonts w:hint="eastAsia" w:ascii="仿宋_GB2312" w:hAnsi="宋体" w:eastAsia="仿宋_GB2312" w:cs="Courier New"/>
          <w:sz w:val="32"/>
          <w:szCs w:val="32"/>
        </w:rPr>
        <w:t>；公用经费</w:t>
      </w:r>
      <w:r>
        <w:rPr>
          <w:rFonts w:hint="eastAsia" w:ascii="仿宋_GB2312" w:eastAsia="仿宋_GB2312"/>
          <w:sz w:val="32"/>
          <w:szCs w:val="32"/>
          <w:lang w:val="en-US" w:eastAsia="zh-CN"/>
        </w:rPr>
        <w:t>29.01</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12.58</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68E62B70">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14:paraId="720975D8">
      <w:pPr>
        <w:spacing w:line="560" w:lineRule="exact"/>
        <w:ind w:firstLine="640" w:firstLineChars="200"/>
        <w:rPr>
          <w:rFonts w:ascii="仿宋_GB2312" w:eastAsia="仿宋_GB2312"/>
          <w:sz w:val="32"/>
          <w:szCs w:val="32"/>
        </w:rPr>
      </w:pPr>
      <w:r>
        <w:rPr>
          <w:rFonts w:hint="eastAsia" w:ascii="仿宋_GB2312" w:eastAsia="仿宋_GB2312"/>
          <w:sz w:val="32"/>
          <w:szCs w:val="32"/>
        </w:rPr>
        <w:t>我部门2023</w:t>
      </w:r>
      <w:r>
        <w:rPr>
          <w:rFonts w:hint="eastAsia" w:ascii="仿宋_GB2312" w:hAnsi="宋体" w:eastAsia="仿宋_GB2312" w:cs="Courier New"/>
          <w:sz w:val="32"/>
          <w:szCs w:val="32"/>
        </w:rPr>
        <w:t>年“三公”经费预算为</w:t>
      </w:r>
      <w:r>
        <w:rPr>
          <w:rFonts w:hint="eastAsia" w:ascii="仿宋_GB2312" w:eastAsia="仿宋_GB2312"/>
          <w:sz w:val="32"/>
          <w:szCs w:val="32"/>
        </w:rPr>
        <w:t>2</w:t>
      </w:r>
      <w:r>
        <w:rPr>
          <w:rFonts w:hint="eastAsia" w:ascii="仿宋_GB2312" w:hAnsi="宋体" w:eastAsia="仿宋_GB2312" w:cs="Courier New"/>
          <w:sz w:val="32"/>
          <w:szCs w:val="32"/>
        </w:rPr>
        <w:t>万元。</w:t>
      </w:r>
      <w:r>
        <w:rPr>
          <w:rFonts w:ascii="仿宋_GB2312" w:hAnsi="宋体" w:eastAsia="仿宋_GB2312" w:cs="Courier New"/>
          <w:sz w:val="32"/>
          <w:szCs w:val="32"/>
        </w:rPr>
        <w:t>20</w:t>
      </w:r>
      <w:r>
        <w:rPr>
          <w:rFonts w:hint="eastAsia" w:ascii="仿宋_GB2312" w:hAnsi="宋体" w:eastAsia="仿宋_GB2312" w:cs="Courier New"/>
          <w:sz w:val="32"/>
          <w:szCs w:val="32"/>
        </w:rPr>
        <w:t>23年“三公”经费支出预算数比</w:t>
      </w:r>
      <w:r>
        <w:rPr>
          <w:rFonts w:ascii="仿宋_GB2312" w:hAnsi="宋体" w:eastAsia="仿宋_GB2312" w:cs="Courier New"/>
          <w:sz w:val="32"/>
          <w:szCs w:val="32"/>
        </w:rPr>
        <w:t>20</w:t>
      </w:r>
      <w:r>
        <w:rPr>
          <w:rFonts w:hint="eastAsia" w:ascii="仿宋_GB2312" w:hAnsi="宋体" w:eastAsia="仿宋_GB2312" w:cs="Courier New"/>
          <w:sz w:val="32"/>
          <w:szCs w:val="32"/>
        </w:rPr>
        <w:t>22年减少2.6万元。</w:t>
      </w:r>
    </w:p>
    <w:p w14:paraId="2529501E">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712364FA">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highlight w:val="red"/>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bCs/>
          <w:sz w:val="32"/>
          <w:szCs w:val="32"/>
        </w:rPr>
        <w:t>0</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主要用于单位工作人员公务出国（境）的住宿费、旅费、伙食补助费、杂费、培训费等支出。因公出国（境）费预算数与</w:t>
      </w:r>
      <w:r>
        <w:rPr>
          <w:rFonts w:ascii="仿宋_GB2312" w:hAnsi="宋体" w:eastAsia="仿宋_GB2312" w:cs="Courier New"/>
          <w:bCs/>
          <w:sz w:val="32"/>
          <w:szCs w:val="32"/>
        </w:rPr>
        <w:t>20</w:t>
      </w:r>
      <w:r>
        <w:rPr>
          <w:rFonts w:hint="eastAsia" w:ascii="仿宋_GB2312" w:hAnsi="宋体" w:eastAsia="仿宋_GB2312" w:cs="Courier New"/>
          <w:bCs/>
          <w:sz w:val="32"/>
          <w:szCs w:val="32"/>
        </w:rPr>
        <w:t>22年相比，增加0万元。</w:t>
      </w:r>
    </w:p>
    <w:p w14:paraId="09BA213E">
      <w:pPr>
        <w:kinsoku w:val="0"/>
        <w:overflowPunct w:val="0"/>
        <w:autoSpaceDE w:val="0"/>
        <w:autoSpaceDN w:val="0"/>
        <w:adjustRightInd w:val="0"/>
        <w:snapToGrid w:val="0"/>
        <w:spacing w:line="560" w:lineRule="exact"/>
        <w:ind w:firstLine="639" w:firstLineChars="200"/>
        <w:rPr>
          <w:rFonts w:ascii="仿宋_GB2312" w:hAnsi="宋体" w:eastAsia="仿宋_GB2312" w:cs="Courier New"/>
          <w:bCs/>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bCs/>
          <w:sz w:val="32"/>
          <w:szCs w:val="32"/>
        </w:rPr>
        <w:t>1.8</w:t>
      </w:r>
      <w:r>
        <w:rPr>
          <w:rFonts w:hint="eastAsia" w:ascii="仿宋_GB2312" w:hAnsi="Times New Roman" w:eastAsia="仿宋_GB2312" w:cs="仿宋_GB2312"/>
          <w:bCs/>
          <w:kern w:val="0"/>
          <w:sz w:val="32"/>
          <w:szCs w:val="32"/>
        </w:rPr>
        <w:t>万</w:t>
      </w:r>
      <w:r>
        <w:rPr>
          <w:rFonts w:hint="eastAsia" w:ascii="仿宋_GB2312" w:hAnsi="宋体" w:eastAsia="仿宋_GB2312" w:cs="Courier New"/>
          <w:bCs/>
          <w:sz w:val="32"/>
          <w:szCs w:val="32"/>
        </w:rPr>
        <w:t>元，其中，公务用车购置费</w:t>
      </w:r>
      <w:r>
        <w:rPr>
          <w:rFonts w:hint="eastAsia" w:ascii="仿宋_GB2312" w:eastAsia="仿宋_GB2312"/>
          <w:bCs/>
          <w:sz w:val="32"/>
          <w:szCs w:val="32"/>
        </w:rPr>
        <w:t>0</w:t>
      </w:r>
      <w:r>
        <w:rPr>
          <w:rFonts w:hint="eastAsia" w:ascii="仿宋_GB2312" w:hAnsi="宋体" w:eastAsia="仿宋_GB2312" w:cs="Courier New"/>
          <w:bCs/>
          <w:sz w:val="32"/>
          <w:szCs w:val="32"/>
        </w:rPr>
        <w:t>万元；公务用车运行维护费</w:t>
      </w:r>
      <w:r>
        <w:rPr>
          <w:rFonts w:hint="eastAsia" w:ascii="仿宋_GB2312" w:eastAsia="仿宋_GB2312"/>
          <w:bCs/>
          <w:sz w:val="32"/>
          <w:szCs w:val="32"/>
        </w:rPr>
        <w:t>1.8</w:t>
      </w:r>
      <w:r>
        <w:rPr>
          <w:rFonts w:hint="eastAsia" w:ascii="仿宋_GB2312" w:hAnsi="宋体" w:eastAsia="仿宋_GB2312" w:cs="Courier New"/>
          <w:bCs/>
          <w:sz w:val="32"/>
          <w:szCs w:val="32"/>
        </w:rPr>
        <w:t>万元，主要用于开展工作所需公务用车的燃料费、维修费、过路过桥费、保险费、安全奖励费用等支出。公务用车购置费预算数与</w:t>
      </w:r>
      <w:r>
        <w:rPr>
          <w:rFonts w:ascii="仿宋_GB2312" w:hAnsi="宋体" w:eastAsia="仿宋_GB2312" w:cs="Courier New"/>
          <w:bCs/>
          <w:sz w:val="32"/>
          <w:szCs w:val="32"/>
        </w:rPr>
        <w:t>20</w:t>
      </w:r>
      <w:r>
        <w:rPr>
          <w:rFonts w:hint="eastAsia" w:ascii="仿宋_GB2312" w:hAnsi="宋体" w:eastAsia="仿宋_GB2312" w:cs="Courier New"/>
          <w:bCs/>
          <w:sz w:val="32"/>
          <w:szCs w:val="32"/>
        </w:rPr>
        <w:t>22年相比增加0万元，主要原因：</w:t>
      </w:r>
      <w:r>
        <w:rPr>
          <w:rFonts w:hint="eastAsia" w:ascii="仿宋_GB2312" w:eastAsia="仿宋_GB2312"/>
          <w:bCs/>
          <w:sz w:val="32"/>
          <w:szCs w:val="32"/>
        </w:rPr>
        <w:t>无</w:t>
      </w:r>
      <w:r>
        <w:rPr>
          <w:rFonts w:hint="eastAsia" w:ascii="仿宋_GB2312" w:hAnsi="宋体" w:eastAsia="仿宋_GB2312" w:cs="Courier New"/>
          <w:bCs/>
          <w:sz w:val="32"/>
          <w:szCs w:val="32"/>
        </w:rPr>
        <w:t>。公务用车运行维护费预算数比</w:t>
      </w:r>
      <w:r>
        <w:rPr>
          <w:rFonts w:ascii="仿宋_GB2312" w:hAnsi="宋体" w:eastAsia="仿宋_GB2312" w:cs="Courier New"/>
          <w:bCs/>
          <w:sz w:val="32"/>
          <w:szCs w:val="32"/>
        </w:rPr>
        <w:t>20</w:t>
      </w:r>
      <w:r>
        <w:rPr>
          <w:rFonts w:hint="eastAsia" w:ascii="仿宋_GB2312" w:hAnsi="宋体" w:eastAsia="仿宋_GB2312" w:cs="Courier New"/>
          <w:bCs/>
          <w:sz w:val="32"/>
          <w:szCs w:val="32"/>
        </w:rPr>
        <w:t>22年</w:t>
      </w:r>
      <w:bookmarkStart w:id="0" w:name="OLE_LINK1"/>
      <w:r>
        <w:rPr>
          <w:rFonts w:hint="eastAsia" w:ascii="仿宋_GB2312" w:hAnsi="宋体" w:eastAsia="仿宋_GB2312" w:cs="Courier New"/>
          <w:bCs/>
          <w:sz w:val="32"/>
          <w:szCs w:val="32"/>
        </w:rPr>
        <w:t>减少2万元</w:t>
      </w:r>
      <w:bookmarkEnd w:id="0"/>
      <w:r>
        <w:rPr>
          <w:rFonts w:hint="eastAsia" w:ascii="仿宋_GB2312" w:hAnsi="宋体" w:eastAsia="仿宋_GB2312" w:cs="Courier New"/>
          <w:bCs/>
          <w:sz w:val="32"/>
          <w:szCs w:val="32"/>
        </w:rPr>
        <w:t>，主要原因：</w:t>
      </w:r>
      <w:r>
        <w:rPr>
          <w:rFonts w:hint="eastAsia" w:ascii="仿宋_GB2312" w:eastAsia="仿宋_GB2312"/>
          <w:bCs/>
          <w:sz w:val="32"/>
          <w:szCs w:val="32"/>
        </w:rPr>
        <w:t>响应政府号召，厉行节约</w:t>
      </w:r>
      <w:r>
        <w:rPr>
          <w:rFonts w:hint="eastAsia" w:ascii="仿宋_GB2312" w:hAnsi="宋体" w:eastAsia="仿宋_GB2312" w:cs="Courier New"/>
          <w:bCs/>
          <w:sz w:val="32"/>
          <w:szCs w:val="32"/>
        </w:rPr>
        <w:t>。</w:t>
      </w:r>
    </w:p>
    <w:p w14:paraId="718CA3A1">
      <w:pPr>
        <w:kinsoku w:val="0"/>
        <w:overflowPunct w:val="0"/>
        <w:autoSpaceDE w:val="0"/>
        <w:autoSpaceDN w:val="0"/>
        <w:adjustRightInd w:val="0"/>
        <w:snapToGrid w:val="0"/>
        <w:spacing w:line="360" w:lineRule="auto"/>
        <w:ind w:firstLine="639" w:firstLineChars="200"/>
        <w:rPr>
          <w:rFonts w:ascii="仿宋_GB2312" w:hAnsi="宋体" w:eastAsia="仿宋_GB2312" w:cs="Courier New"/>
          <w:bCs/>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bCs/>
          <w:sz w:val="32"/>
          <w:szCs w:val="32"/>
        </w:rPr>
        <w:t>0.2</w:t>
      </w:r>
      <w:r>
        <w:rPr>
          <w:rFonts w:hint="eastAsia" w:ascii="仿宋_GB2312" w:hAnsi="宋体" w:eastAsia="仿宋_GB2312" w:cs="Courier New"/>
          <w:bCs/>
          <w:sz w:val="32"/>
          <w:szCs w:val="32"/>
        </w:rPr>
        <w:t>万元，主要用于按规定开支的各类公务接待（含外宾接待）支出。公务接待费预算数比</w:t>
      </w:r>
      <w:r>
        <w:rPr>
          <w:rFonts w:ascii="仿宋_GB2312" w:hAnsi="宋体" w:eastAsia="仿宋_GB2312" w:cs="Courier New"/>
          <w:bCs/>
          <w:sz w:val="32"/>
          <w:szCs w:val="32"/>
        </w:rPr>
        <w:t>20</w:t>
      </w:r>
      <w:r>
        <w:rPr>
          <w:rFonts w:hint="eastAsia" w:ascii="仿宋_GB2312" w:hAnsi="宋体" w:eastAsia="仿宋_GB2312" w:cs="Courier New"/>
          <w:bCs/>
          <w:sz w:val="32"/>
          <w:szCs w:val="32"/>
        </w:rPr>
        <w:t>22年减少0.6万元。主要原因：</w:t>
      </w:r>
      <w:r>
        <w:rPr>
          <w:rFonts w:hint="eastAsia" w:ascii="仿宋_GB2312" w:eastAsia="仿宋_GB2312"/>
          <w:bCs/>
          <w:sz w:val="32"/>
          <w:szCs w:val="32"/>
        </w:rPr>
        <w:t>响应政府号召，厉行节约</w:t>
      </w:r>
      <w:r>
        <w:rPr>
          <w:rFonts w:hint="eastAsia" w:ascii="仿宋_GB2312" w:hAnsi="宋体" w:eastAsia="仿宋_GB2312" w:cs="Courier New"/>
          <w:bCs/>
          <w:sz w:val="32"/>
          <w:szCs w:val="32"/>
        </w:rPr>
        <w:t>。</w:t>
      </w:r>
    </w:p>
    <w:p w14:paraId="5AD76A51">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2C290A00">
      <w:pPr>
        <w:spacing w:line="560" w:lineRule="exact"/>
        <w:ind w:firstLine="640" w:firstLineChars="200"/>
        <w:rPr>
          <w:rFonts w:ascii="仿宋_GB2312" w:hAnsi="宋体" w:eastAsia="仿宋_GB2312" w:cs="Courier New"/>
          <w:sz w:val="32"/>
          <w:szCs w:val="32"/>
        </w:rPr>
      </w:pPr>
      <w:r>
        <w:rPr>
          <w:rFonts w:hint="eastAsia" w:ascii="仿宋_GB2312" w:eastAsia="仿宋_GB2312"/>
          <w:bCs/>
          <w:sz w:val="32"/>
          <w:szCs w:val="32"/>
        </w:rPr>
        <w:t>我部门2023年没有使用政府性基金预算拨款安排的支出</w:t>
      </w:r>
      <w:r>
        <w:rPr>
          <w:rFonts w:hint="eastAsia" w:ascii="仿宋_GB2312" w:eastAsia="仿宋_GB2312"/>
          <w:b/>
          <w:sz w:val="32"/>
          <w:szCs w:val="32"/>
        </w:rPr>
        <w:t>。</w:t>
      </w:r>
    </w:p>
    <w:p w14:paraId="703F1022">
      <w:pPr>
        <w:kinsoku w:val="0"/>
        <w:overflowPunct w:val="0"/>
        <w:adjustRightInd w:val="0"/>
        <w:snapToGrid w:val="0"/>
        <w:spacing w:line="360" w:lineRule="auto"/>
        <w:ind w:firstLine="643"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rPr>
        <w:t>九、其他重要事项的情况说明</w:t>
      </w:r>
    </w:p>
    <w:p w14:paraId="038C402C">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1A2145C1">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年机关运行经费支出预算</w:t>
      </w:r>
      <w:r>
        <w:rPr>
          <w:rFonts w:hint="eastAsia" w:ascii="仿宋_GB2312" w:eastAsia="仿宋_GB2312"/>
          <w:sz w:val="32"/>
          <w:szCs w:val="32"/>
        </w:rPr>
        <w:t>29.01</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主要保障机构正常运行及正常履职需要所需支出，包括公用经费、公务交通补贴、工会经费、职工福利等。</w:t>
      </w:r>
    </w:p>
    <w:p w14:paraId="12EF9520">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68D048AC">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kern w:val="0"/>
          <w:sz w:val="32"/>
          <w:szCs w:val="32"/>
        </w:rPr>
      </w:pPr>
      <w:r>
        <w:rPr>
          <w:rFonts w:ascii="仿宋_GB2312" w:eastAsia="仿宋_GB2312"/>
          <w:sz w:val="32"/>
          <w:szCs w:val="32"/>
        </w:rPr>
        <w:t>20</w:t>
      </w:r>
      <w:r>
        <w:rPr>
          <w:rFonts w:hint="eastAsia" w:ascii="仿宋_GB2312" w:eastAsia="仿宋_GB2312"/>
          <w:sz w:val="32"/>
          <w:szCs w:val="32"/>
        </w:rPr>
        <w:t>23年政府采购预算安排0万元，其中：政府采购货物预算0万元、政府采购工程预算0万元、政府采购服务预算0万元。</w:t>
      </w:r>
    </w:p>
    <w:p w14:paraId="06B504FC">
      <w:pPr>
        <w:kinsoku w:val="0"/>
        <w:overflowPunct w:val="0"/>
        <w:adjustRightInd w:val="0"/>
        <w:snapToGrid w:val="0"/>
        <w:spacing w:line="360" w:lineRule="auto"/>
        <w:ind w:firstLine="482"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14:paraId="7FEBAD6E">
      <w:pPr>
        <w:kinsoku w:val="0"/>
        <w:overflowPunct w:val="0"/>
        <w:autoSpaceDE w:val="0"/>
        <w:autoSpaceDN w:val="0"/>
        <w:adjustRightInd w:val="0"/>
        <w:snapToGrid w:val="0"/>
        <w:spacing w:line="360" w:lineRule="auto"/>
        <w:ind w:firstLine="800" w:firstLineChars="250"/>
        <w:rPr>
          <w:rFonts w:hint="eastAsia" w:ascii="仿宋_GB2312" w:hAnsi="宋体" w:eastAsia="仿宋_GB2312" w:cs="Courier New"/>
          <w:sz w:val="32"/>
          <w:szCs w:val="32"/>
          <w:lang w:val="en-US" w:eastAsia="zh-CN"/>
        </w:rPr>
      </w:pPr>
      <w:r>
        <w:rPr>
          <w:rFonts w:hint="eastAsia" w:ascii="仿宋_GB2312" w:eastAsia="仿宋_GB2312"/>
          <w:sz w:val="32"/>
          <w:szCs w:val="32"/>
        </w:rPr>
        <w:t>我</w:t>
      </w:r>
      <w:r>
        <w:rPr>
          <w:rFonts w:hint="eastAsia" w:ascii="仿宋_GB2312" w:hAnsi="宋体" w:eastAsia="仿宋_GB2312" w:cs="Courier New"/>
          <w:sz w:val="32"/>
          <w:szCs w:val="32"/>
        </w:rPr>
        <w:t>部门2023年预算项目分别从项目产出、项目效益、项目满意度等方面设立了绩效目标，综合反映了预算的数量、质量，社会经济效益、可持续影响及服务对象满意度等情况。本部门没有重点项目，所以没有重点项目绩效</w:t>
      </w:r>
      <w:r>
        <w:rPr>
          <w:rFonts w:hint="eastAsia" w:ascii="仿宋_GB2312" w:hAnsi="宋体" w:eastAsia="仿宋_GB2312" w:cs="Courier New"/>
          <w:sz w:val="32"/>
          <w:szCs w:val="32"/>
          <w:lang w:eastAsia="zh-CN"/>
        </w:rPr>
        <w:t>。</w:t>
      </w:r>
      <w:bookmarkStart w:id="1" w:name="_GoBack"/>
      <w:bookmarkEnd w:id="1"/>
    </w:p>
    <w:p w14:paraId="0B0AB1C5">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263E301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22年末，我部门共有车辆</w:t>
      </w:r>
      <w:r>
        <w:rPr>
          <w:rFonts w:hint="eastAsia" w:ascii="仿宋_GB2312" w:eastAsia="仿宋_GB2312"/>
          <w:sz w:val="32"/>
          <w:szCs w:val="32"/>
        </w:rPr>
        <w:t>1</w:t>
      </w:r>
      <w:r>
        <w:rPr>
          <w:rFonts w:hint="eastAsia" w:ascii="仿宋_GB2312" w:hAnsi="宋体" w:eastAsia="仿宋_GB2312" w:cs="Courier New"/>
          <w:sz w:val="32"/>
          <w:szCs w:val="32"/>
        </w:rPr>
        <w:t>辆，其中：一般公务用车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辆、特种专业技术用车</w:t>
      </w:r>
      <w:r>
        <w:rPr>
          <w:rFonts w:hint="eastAsia" w:ascii="仿宋_GB2312" w:eastAsia="仿宋_GB2312"/>
          <w:sz w:val="32"/>
          <w:szCs w:val="32"/>
        </w:rPr>
        <w:t>0</w:t>
      </w:r>
      <w:r>
        <w:rPr>
          <w:rFonts w:hint="eastAsia" w:ascii="仿宋_GB2312" w:hAnsi="宋体" w:eastAsia="仿宋_GB2312" w:cs="Courier New"/>
          <w:sz w:val="32"/>
          <w:szCs w:val="32"/>
        </w:rPr>
        <w:t>辆，其他用车</w:t>
      </w:r>
      <w:r>
        <w:rPr>
          <w:rFonts w:hint="eastAsia" w:ascii="仿宋_GB2312" w:eastAsia="仿宋_GB2312"/>
          <w:sz w:val="32"/>
          <w:szCs w:val="32"/>
        </w:rPr>
        <w:t>1</w:t>
      </w:r>
      <w:r>
        <w:rPr>
          <w:rFonts w:hint="eastAsia" w:ascii="仿宋_GB2312" w:hAnsi="宋体" w:eastAsia="仿宋_GB2312" w:cs="Courier New"/>
          <w:sz w:val="32"/>
          <w:szCs w:val="32"/>
        </w:rPr>
        <w:t>辆，其他用车主要是业务用车；单价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rPr>
        <w:t>0</w:t>
      </w:r>
      <w:r>
        <w:rPr>
          <w:rFonts w:hint="eastAsia" w:ascii="仿宋_GB2312" w:hAnsi="宋体" w:eastAsia="仿宋_GB2312" w:cs="Courier New"/>
          <w:sz w:val="32"/>
          <w:szCs w:val="32"/>
        </w:rPr>
        <w:t>台（套）。</w:t>
      </w:r>
    </w:p>
    <w:p w14:paraId="60AAB9C8">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38DC958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我部门2023年没有专项转移支付项目。</w:t>
      </w:r>
    </w:p>
    <w:p w14:paraId="2F7B1121">
      <w:pPr>
        <w:adjustRightInd w:val="0"/>
        <w:snapToGrid w:val="0"/>
        <w:spacing w:line="360" w:lineRule="auto"/>
        <w:jc w:val="center"/>
        <w:rPr>
          <w:rFonts w:ascii="黑体" w:hAnsi="黑体" w:eastAsia="黑体"/>
          <w:sz w:val="32"/>
          <w:szCs w:val="32"/>
        </w:rPr>
      </w:pPr>
    </w:p>
    <w:p w14:paraId="11FFF63C">
      <w:pPr>
        <w:adjustRightInd w:val="0"/>
        <w:snapToGrid w:val="0"/>
        <w:spacing w:line="360" w:lineRule="auto"/>
        <w:jc w:val="center"/>
        <w:rPr>
          <w:rFonts w:ascii="黑体" w:hAnsi="黑体" w:eastAsia="黑体"/>
          <w:sz w:val="32"/>
          <w:szCs w:val="32"/>
        </w:rPr>
      </w:pPr>
    </w:p>
    <w:p w14:paraId="0D5E7524">
      <w:pPr>
        <w:adjustRightInd w:val="0"/>
        <w:snapToGrid w:val="0"/>
        <w:spacing w:line="360" w:lineRule="auto"/>
        <w:jc w:val="center"/>
        <w:rPr>
          <w:rFonts w:ascii="黑体" w:hAnsi="黑体" w:eastAsia="黑体"/>
          <w:sz w:val="32"/>
          <w:szCs w:val="32"/>
        </w:rPr>
      </w:pPr>
    </w:p>
    <w:p w14:paraId="307AC58A">
      <w:pPr>
        <w:adjustRightInd w:val="0"/>
        <w:snapToGrid w:val="0"/>
        <w:spacing w:line="360" w:lineRule="auto"/>
        <w:jc w:val="center"/>
        <w:rPr>
          <w:rFonts w:ascii="黑体" w:hAnsi="黑体" w:eastAsia="黑体"/>
          <w:sz w:val="32"/>
          <w:szCs w:val="32"/>
        </w:rPr>
      </w:pPr>
    </w:p>
    <w:p w14:paraId="7D7A03FD">
      <w:pPr>
        <w:adjustRightInd w:val="0"/>
        <w:snapToGrid w:val="0"/>
        <w:spacing w:line="360" w:lineRule="auto"/>
        <w:jc w:val="center"/>
        <w:rPr>
          <w:rFonts w:ascii="黑体" w:hAnsi="黑体" w:eastAsia="黑体"/>
          <w:sz w:val="32"/>
          <w:szCs w:val="32"/>
        </w:rPr>
      </w:pPr>
    </w:p>
    <w:p w14:paraId="43017E28">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 名词解释</w:t>
      </w:r>
    </w:p>
    <w:p w14:paraId="033E3FD3">
      <w:pPr>
        <w:adjustRightInd w:val="0"/>
        <w:snapToGrid w:val="0"/>
        <w:spacing w:line="360" w:lineRule="auto"/>
        <w:jc w:val="center"/>
        <w:rPr>
          <w:rFonts w:ascii="黑体" w:hAnsi="黑体" w:eastAsia="黑体"/>
          <w:sz w:val="32"/>
          <w:szCs w:val="32"/>
        </w:rPr>
      </w:pPr>
    </w:p>
    <w:p w14:paraId="7ADB2F7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72D38745">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2D98792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2102EF5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0AECA0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01FF16F3">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14:paraId="35CF4521">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14:paraId="2423BA1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69BD63">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37D813A7">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r>
        <w:rPr>
          <w:rFonts w:hint="eastAsia" w:ascii="仿宋_GB2312" w:hAnsi="宋体" w:eastAsia="仿宋_GB2312" w:cs="Courier New"/>
          <w:sz w:val="32"/>
          <w:szCs w:val="32"/>
        </w:rPr>
        <w:t>第四部分</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附件</w:t>
      </w:r>
      <w:r>
        <w:rPr>
          <w:rFonts w:hint="eastAsia" w:ascii="仿宋_GB2312" w:hAnsi="仿宋_GB2312" w:eastAsia="仿宋_GB2312" w:cs="仿宋_GB2312"/>
          <w:sz w:val="32"/>
          <w:szCs w:val="32"/>
        </w:rPr>
        <w:t>2023年度部门预算表</w:t>
      </w:r>
    </w:p>
    <w:p w14:paraId="640DB01F">
      <w:pPr>
        <w:adjustRightInd w:val="0"/>
        <w:snapToGrid w:val="0"/>
        <w:spacing w:line="360" w:lineRule="auto"/>
        <w:rPr>
          <w:rFonts w:ascii="仿宋_GB2312" w:hAnsi="仿宋_GB2312" w:eastAsia="仿宋_GB2312" w:cs="仿宋_GB2312"/>
          <w:sz w:val="32"/>
          <w:szCs w:val="32"/>
        </w:rPr>
      </w:pPr>
    </w:p>
    <w:p w14:paraId="47163A42">
      <w:pPr>
        <w:adjustRightInd w:val="0"/>
        <w:snapToGrid w:val="0"/>
        <w:spacing w:line="360" w:lineRule="auto"/>
        <w:rPr>
          <w:rFonts w:ascii="仿宋_GB2312" w:hAnsi="仿宋_GB2312" w:eastAsia="仿宋_GB2312" w:cs="仿宋_GB2312"/>
          <w:sz w:val="32"/>
          <w:szCs w:val="32"/>
        </w:rPr>
      </w:pPr>
    </w:p>
    <w:p w14:paraId="0F8011CF">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80" w:bottom="1440" w:left="1080" w:header="851" w:footer="992" w:gutter="0"/>
          <w:cols w:space="425" w:num="1"/>
          <w:docGrid w:type="lines" w:linePitch="312" w:charSpace="0"/>
        </w:sectPr>
      </w:pPr>
      <w:r>
        <w:drawing>
          <wp:inline distT="0" distB="0" distL="0" distR="0">
            <wp:extent cx="5886450" cy="7058025"/>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86450" cy="7058025"/>
                    </a:xfrm>
                    <a:prstGeom prst="rect">
                      <a:avLst/>
                    </a:prstGeom>
                    <a:noFill/>
                    <a:ln>
                      <a:noFill/>
                    </a:ln>
                  </pic:spPr>
                </pic:pic>
              </a:graphicData>
            </a:graphic>
          </wp:inline>
        </w:drawing>
      </w:r>
    </w:p>
    <w:p w14:paraId="766B1E02">
      <w:pPr>
        <w:adjustRightInd w:val="0"/>
        <w:snapToGrid w:val="0"/>
        <w:spacing w:line="360" w:lineRule="auto"/>
        <w:rPr>
          <w:rFonts w:ascii="仿宋_GB2312" w:hAnsi="仿宋_GB2312" w:eastAsia="仿宋_GB2312" w:cs="仿宋_GB2312"/>
          <w:sz w:val="32"/>
          <w:szCs w:val="32"/>
        </w:rPr>
      </w:pPr>
      <w:r>
        <w:drawing>
          <wp:inline distT="0" distB="0" distL="0" distR="0">
            <wp:extent cx="9429750" cy="1276350"/>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429750" cy="1276350"/>
                    </a:xfrm>
                    <a:prstGeom prst="rect">
                      <a:avLst/>
                    </a:prstGeom>
                    <a:noFill/>
                    <a:ln>
                      <a:noFill/>
                    </a:ln>
                  </pic:spPr>
                </pic:pic>
              </a:graphicData>
            </a:graphic>
          </wp:inline>
        </w:drawing>
      </w:r>
    </w:p>
    <w:p w14:paraId="6ABD565F">
      <w:pPr>
        <w:adjustRightInd w:val="0"/>
        <w:snapToGrid w:val="0"/>
        <w:spacing w:line="360" w:lineRule="auto"/>
        <w:rPr>
          <w:rFonts w:ascii="仿宋_GB2312" w:hAnsi="仿宋_GB2312" w:eastAsia="仿宋_GB2312" w:cs="仿宋_GB2312"/>
          <w:sz w:val="32"/>
          <w:szCs w:val="32"/>
        </w:rPr>
      </w:pPr>
    </w:p>
    <w:p w14:paraId="7E81E043">
      <w:pPr>
        <w:adjustRightInd w:val="0"/>
        <w:snapToGrid w:val="0"/>
        <w:spacing w:line="360" w:lineRule="auto"/>
        <w:rPr>
          <w:rFonts w:ascii="仿宋_GB2312" w:hAnsi="仿宋_GB2312" w:eastAsia="仿宋_GB2312" w:cs="仿宋_GB2312"/>
          <w:sz w:val="32"/>
          <w:szCs w:val="32"/>
        </w:rPr>
      </w:pPr>
    </w:p>
    <w:p w14:paraId="56591134">
      <w:pPr>
        <w:adjustRightInd w:val="0"/>
        <w:snapToGrid w:val="0"/>
        <w:spacing w:line="360" w:lineRule="auto"/>
        <w:rPr>
          <w:rFonts w:ascii="仿宋_GB2312" w:hAnsi="仿宋_GB2312" w:eastAsia="仿宋_GB2312" w:cs="仿宋_GB2312"/>
          <w:sz w:val="32"/>
          <w:szCs w:val="32"/>
        </w:rPr>
      </w:pPr>
    </w:p>
    <w:p w14:paraId="1F075531">
      <w:pPr>
        <w:adjustRightInd w:val="0"/>
        <w:snapToGrid w:val="0"/>
        <w:spacing w:line="360" w:lineRule="auto"/>
        <w:rPr>
          <w:rFonts w:ascii="仿宋_GB2312" w:hAnsi="仿宋_GB2312" w:eastAsia="仿宋_GB2312" w:cs="仿宋_GB2312"/>
          <w:sz w:val="32"/>
          <w:szCs w:val="32"/>
        </w:rPr>
      </w:pPr>
    </w:p>
    <w:p w14:paraId="2E4C7676">
      <w:pPr>
        <w:adjustRightInd w:val="0"/>
        <w:snapToGrid w:val="0"/>
        <w:spacing w:line="360" w:lineRule="auto"/>
        <w:rPr>
          <w:rFonts w:ascii="仿宋_GB2312" w:hAnsi="仿宋_GB2312" w:eastAsia="仿宋_GB2312" w:cs="仿宋_GB2312"/>
          <w:sz w:val="32"/>
          <w:szCs w:val="32"/>
        </w:rPr>
      </w:pPr>
    </w:p>
    <w:p w14:paraId="38353FD9">
      <w:pPr>
        <w:adjustRightInd w:val="0"/>
        <w:snapToGrid w:val="0"/>
        <w:spacing w:line="360" w:lineRule="auto"/>
        <w:rPr>
          <w:rFonts w:ascii="仿宋_GB2312" w:hAnsi="仿宋_GB2312" w:eastAsia="仿宋_GB2312" w:cs="仿宋_GB2312"/>
          <w:sz w:val="32"/>
          <w:szCs w:val="32"/>
        </w:rPr>
      </w:pPr>
    </w:p>
    <w:p w14:paraId="16807B3A">
      <w:pPr>
        <w:adjustRightInd w:val="0"/>
        <w:snapToGrid w:val="0"/>
        <w:spacing w:line="360" w:lineRule="auto"/>
        <w:rPr>
          <w:rFonts w:ascii="仿宋_GB2312" w:hAnsi="仿宋_GB2312" w:eastAsia="仿宋_GB2312" w:cs="仿宋_GB2312"/>
          <w:sz w:val="32"/>
          <w:szCs w:val="32"/>
        </w:rPr>
      </w:pPr>
    </w:p>
    <w:p w14:paraId="5EDEE93E">
      <w:pPr>
        <w:adjustRightInd w:val="0"/>
        <w:snapToGrid w:val="0"/>
        <w:spacing w:line="360" w:lineRule="auto"/>
        <w:rPr>
          <w:rFonts w:ascii="仿宋_GB2312" w:hAnsi="仿宋_GB2312" w:eastAsia="仿宋_GB2312" w:cs="仿宋_GB2312"/>
          <w:sz w:val="32"/>
          <w:szCs w:val="32"/>
        </w:rPr>
      </w:pPr>
    </w:p>
    <w:p w14:paraId="5C8B9492">
      <w:pPr>
        <w:adjustRightInd w:val="0"/>
        <w:snapToGrid w:val="0"/>
        <w:spacing w:line="360" w:lineRule="auto"/>
        <w:rPr>
          <w:rFonts w:ascii="仿宋_GB2312" w:hAnsi="仿宋_GB2312" w:eastAsia="仿宋_GB2312" w:cs="仿宋_GB2312"/>
          <w:sz w:val="32"/>
          <w:szCs w:val="32"/>
        </w:rPr>
      </w:pPr>
    </w:p>
    <w:p w14:paraId="4BFF8E50">
      <w:pPr>
        <w:adjustRightInd w:val="0"/>
        <w:snapToGrid w:val="0"/>
        <w:spacing w:line="360" w:lineRule="auto"/>
        <w:rPr>
          <w:rFonts w:ascii="仿宋_GB2312" w:hAnsi="仿宋_GB2312" w:eastAsia="仿宋_GB2312" w:cs="仿宋_GB2312"/>
          <w:sz w:val="32"/>
          <w:szCs w:val="32"/>
        </w:rPr>
      </w:pPr>
    </w:p>
    <w:p w14:paraId="0BB191FE">
      <w:pPr>
        <w:adjustRightInd w:val="0"/>
        <w:snapToGrid w:val="0"/>
        <w:spacing w:line="360" w:lineRule="auto"/>
        <w:rPr>
          <w:rFonts w:ascii="仿宋_GB2312" w:hAnsi="仿宋_GB2312" w:eastAsia="仿宋_GB2312" w:cs="仿宋_GB2312"/>
          <w:sz w:val="32"/>
          <w:szCs w:val="32"/>
        </w:rPr>
      </w:pPr>
    </w:p>
    <w:p w14:paraId="2CDA1FE2">
      <w:pPr>
        <w:adjustRightInd w:val="0"/>
        <w:snapToGrid w:val="0"/>
        <w:spacing w:line="360" w:lineRule="auto"/>
        <w:rPr>
          <w:rFonts w:ascii="仿宋_GB2312" w:hAnsi="仿宋_GB2312" w:eastAsia="仿宋_GB2312" w:cs="仿宋_GB2312"/>
          <w:sz w:val="32"/>
          <w:szCs w:val="32"/>
        </w:rPr>
      </w:pPr>
    </w:p>
    <w:p w14:paraId="0BC40769">
      <w:pPr>
        <w:adjustRightInd w:val="0"/>
        <w:snapToGrid w:val="0"/>
        <w:spacing w:line="360" w:lineRule="auto"/>
        <w:rPr>
          <w:rFonts w:ascii="仿宋_GB2312" w:hAnsi="仿宋_GB2312" w:eastAsia="仿宋_GB2312" w:cs="仿宋_GB2312"/>
          <w:sz w:val="32"/>
          <w:szCs w:val="32"/>
        </w:rPr>
      </w:pPr>
    </w:p>
    <w:p w14:paraId="4C8D14E1">
      <w:pPr>
        <w:adjustRightInd w:val="0"/>
        <w:snapToGrid w:val="0"/>
        <w:spacing w:line="360" w:lineRule="auto"/>
        <w:rPr>
          <w:rFonts w:ascii="仿宋_GB2312" w:hAnsi="仿宋_GB2312" w:eastAsia="仿宋_GB2312" w:cs="仿宋_GB2312"/>
          <w:sz w:val="32"/>
          <w:szCs w:val="32"/>
        </w:rPr>
      </w:pPr>
      <w:r>
        <w:drawing>
          <wp:inline distT="0" distB="0" distL="0" distR="0">
            <wp:extent cx="8858250" cy="2486025"/>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58250" cy="2486025"/>
                    </a:xfrm>
                    <a:prstGeom prst="rect">
                      <a:avLst/>
                    </a:prstGeom>
                    <a:noFill/>
                    <a:ln>
                      <a:noFill/>
                    </a:ln>
                  </pic:spPr>
                </pic:pic>
              </a:graphicData>
            </a:graphic>
          </wp:inline>
        </w:drawing>
      </w:r>
    </w:p>
    <w:p w14:paraId="4C7D173A">
      <w:pPr>
        <w:adjustRightInd w:val="0"/>
        <w:snapToGrid w:val="0"/>
        <w:spacing w:line="360" w:lineRule="auto"/>
        <w:rPr>
          <w:rFonts w:ascii="仿宋_GB2312" w:hAnsi="仿宋_GB2312" w:eastAsia="仿宋_GB2312" w:cs="仿宋_GB2312"/>
          <w:sz w:val="32"/>
          <w:szCs w:val="32"/>
        </w:rPr>
      </w:pPr>
    </w:p>
    <w:p w14:paraId="12324C50">
      <w:pPr>
        <w:adjustRightInd w:val="0"/>
        <w:snapToGrid w:val="0"/>
        <w:spacing w:line="360" w:lineRule="auto"/>
        <w:rPr>
          <w:rFonts w:ascii="仿宋_GB2312" w:hAnsi="仿宋_GB2312" w:eastAsia="仿宋_GB2312" w:cs="仿宋_GB2312"/>
          <w:sz w:val="32"/>
          <w:szCs w:val="32"/>
        </w:rPr>
      </w:pPr>
    </w:p>
    <w:p w14:paraId="46EDF730">
      <w:pPr>
        <w:adjustRightInd w:val="0"/>
        <w:snapToGrid w:val="0"/>
        <w:spacing w:line="360" w:lineRule="auto"/>
        <w:rPr>
          <w:rFonts w:ascii="仿宋_GB2312" w:hAnsi="仿宋_GB2312" w:eastAsia="仿宋_GB2312" w:cs="仿宋_GB2312"/>
          <w:sz w:val="32"/>
          <w:szCs w:val="32"/>
        </w:rPr>
      </w:pPr>
    </w:p>
    <w:p w14:paraId="5769FD4E">
      <w:pPr>
        <w:adjustRightInd w:val="0"/>
        <w:snapToGrid w:val="0"/>
        <w:spacing w:line="360" w:lineRule="auto"/>
        <w:rPr>
          <w:rFonts w:ascii="仿宋_GB2312" w:hAnsi="仿宋_GB2312" w:eastAsia="仿宋_GB2312" w:cs="仿宋_GB2312"/>
          <w:sz w:val="32"/>
          <w:szCs w:val="32"/>
        </w:rPr>
      </w:pPr>
    </w:p>
    <w:p w14:paraId="4C03D9D7">
      <w:pPr>
        <w:adjustRightInd w:val="0"/>
        <w:snapToGrid w:val="0"/>
        <w:spacing w:line="360" w:lineRule="auto"/>
        <w:rPr>
          <w:rFonts w:ascii="仿宋_GB2312" w:hAnsi="仿宋_GB2312" w:eastAsia="仿宋_GB2312" w:cs="仿宋_GB2312"/>
          <w:sz w:val="32"/>
          <w:szCs w:val="32"/>
        </w:rPr>
      </w:pPr>
    </w:p>
    <w:p w14:paraId="67448A1E">
      <w:pPr>
        <w:adjustRightInd w:val="0"/>
        <w:snapToGrid w:val="0"/>
        <w:spacing w:line="360" w:lineRule="auto"/>
        <w:rPr>
          <w:rFonts w:ascii="仿宋_GB2312" w:hAnsi="仿宋_GB2312" w:eastAsia="仿宋_GB2312" w:cs="仿宋_GB2312"/>
          <w:sz w:val="32"/>
          <w:szCs w:val="32"/>
        </w:rPr>
      </w:pPr>
    </w:p>
    <w:p w14:paraId="17FC9C21">
      <w:pPr>
        <w:adjustRightInd w:val="0"/>
        <w:snapToGrid w:val="0"/>
        <w:spacing w:line="360" w:lineRule="auto"/>
        <w:rPr>
          <w:rFonts w:ascii="仿宋_GB2312" w:hAnsi="仿宋_GB2312" w:eastAsia="仿宋_GB2312" w:cs="仿宋_GB2312"/>
          <w:sz w:val="32"/>
          <w:szCs w:val="32"/>
        </w:rPr>
      </w:pPr>
    </w:p>
    <w:p w14:paraId="779D3C9C">
      <w:pPr>
        <w:adjustRightInd w:val="0"/>
        <w:snapToGrid w:val="0"/>
        <w:spacing w:line="360" w:lineRule="auto"/>
        <w:rPr>
          <w:rFonts w:ascii="仿宋_GB2312" w:hAnsi="仿宋_GB2312" w:eastAsia="仿宋_GB2312" w:cs="仿宋_GB2312"/>
          <w:sz w:val="32"/>
          <w:szCs w:val="32"/>
        </w:rPr>
      </w:pPr>
    </w:p>
    <w:p w14:paraId="0C7730FD">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AndChars" w:linePitch="312" w:charSpace="0"/>
        </w:sectPr>
      </w:pPr>
      <w:r>
        <w:drawing>
          <wp:inline distT="0" distB="0" distL="0" distR="0">
            <wp:extent cx="8143875" cy="662940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43875" cy="6629400"/>
                    </a:xfrm>
                    <a:prstGeom prst="rect">
                      <a:avLst/>
                    </a:prstGeom>
                    <a:noFill/>
                    <a:ln>
                      <a:noFill/>
                    </a:ln>
                  </pic:spPr>
                </pic:pic>
              </a:graphicData>
            </a:graphic>
          </wp:inline>
        </w:drawing>
      </w:r>
    </w:p>
    <w:p w14:paraId="71F5E426">
      <w:pPr>
        <w:adjustRightInd w:val="0"/>
        <w:snapToGrid w:val="0"/>
        <w:spacing w:line="360" w:lineRule="auto"/>
        <w:rPr>
          <w:rFonts w:ascii="仿宋_GB2312" w:hAnsi="仿宋_GB2312" w:eastAsia="仿宋_GB2312" w:cs="仿宋_GB2312"/>
          <w:sz w:val="32"/>
          <w:szCs w:val="32"/>
        </w:rPr>
      </w:pPr>
      <w:r>
        <w:drawing>
          <wp:inline distT="0" distB="0" distL="0" distR="0">
            <wp:extent cx="8858250" cy="264795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58250" cy="2647950"/>
                    </a:xfrm>
                    <a:prstGeom prst="rect">
                      <a:avLst/>
                    </a:prstGeom>
                    <a:noFill/>
                    <a:ln>
                      <a:noFill/>
                    </a:ln>
                  </pic:spPr>
                </pic:pic>
              </a:graphicData>
            </a:graphic>
          </wp:inline>
        </w:drawing>
      </w:r>
    </w:p>
    <w:p w14:paraId="65AAE68E">
      <w:pPr>
        <w:adjustRightInd w:val="0"/>
        <w:snapToGrid w:val="0"/>
        <w:spacing w:line="360" w:lineRule="auto"/>
        <w:rPr>
          <w:rFonts w:ascii="仿宋_GB2312" w:hAnsi="仿宋_GB2312" w:eastAsia="仿宋_GB2312" w:cs="仿宋_GB2312"/>
          <w:sz w:val="32"/>
          <w:szCs w:val="32"/>
        </w:rPr>
      </w:pPr>
    </w:p>
    <w:p w14:paraId="24D2894C">
      <w:pPr>
        <w:adjustRightInd w:val="0"/>
        <w:snapToGrid w:val="0"/>
        <w:spacing w:line="360" w:lineRule="auto"/>
        <w:rPr>
          <w:rFonts w:ascii="仿宋_GB2312" w:hAnsi="仿宋_GB2312" w:eastAsia="仿宋_GB2312" w:cs="仿宋_GB2312"/>
          <w:sz w:val="32"/>
          <w:szCs w:val="32"/>
        </w:rPr>
      </w:pPr>
    </w:p>
    <w:p w14:paraId="7AE25EF0">
      <w:pPr>
        <w:adjustRightInd w:val="0"/>
        <w:snapToGrid w:val="0"/>
        <w:spacing w:line="360" w:lineRule="auto"/>
        <w:rPr>
          <w:rFonts w:ascii="仿宋_GB2312" w:hAnsi="仿宋_GB2312" w:eastAsia="仿宋_GB2312" w:cs="仿宋_GB2312"/>
          <w:sz w:val="32"/>
          <w:szCs w:val="32"/>
        </w:rPr>
      </w:pPr>
    </w:p>
    <w:p w14:paraId="6E629F61">
      <w:pPr>
        <w:adjustRightInd w:val="0"/>
        <w:snapToGrid w:val="0"/>
        <w:spacing w:line="360" w:lineRule="auto"/>
        <w:rPr>
          <w:rFonts w:ascii="仿宋_GB2312" w:hAnsi="仿宋_GB2312" w:eastAsia="仿宋_GB2312" w:cs="仿宋_GB2312"/>
          <w:sz w:val="32"/>
          <w:szCs w:val="32"/>
        </w:rPr>
      </w:pPr>
    </w:p>
    <w:p w14:paraId="00D8A5DC">
      <w:pPr>
        <w:adjustRightInd w:val="0"/>
        <w:snapToGrid w:val="0"/>
        <w:spacing w:line="360" w:lineRule="auto"/>
        <w:rPr>
          <w:rFonts w:ascii="仿宋_GB2312" w:hAnsi="仿宋_GB2312" w:eastAsia="仿宋_GB2312" w:cs="仿宋_GB2312"/>
          <w:sz w:val="32"/>
          <w:szCs w:val="32"/>
        </w:rPr>
      </w:pPr>
    </w:p>
    <w:p w14:paraId="3F3EF8BC">
      <w:pPr>
        <w:adjustRightInd w:val="0"/>
        <w:snapToGrid w:val="0"/>
        <w:spacing w:line="360" w:lineRule="auto"/>
        <w:rPr>
          <w:rFonts w:ascii="仿宋_GB2312" w:hAnsi="仿宋_GB2312" w:eastAsia="仿宋_GB2312" w:cs="仿宋_GB2312"/>
          <w:sz w:val="32"/>
          <w:szCs w:val="32"/>
        </w:rPr>
      </w:pPr>
    </w:p>
    <w:p w14:paraId="20BC74B9">
      <w:pPr>
        <w:adjustRightInd w:val="0"/>
        <w:snapToGrid w:val="0"/>
        <w:spacing w:line="360" w:lineRule="auto"/>
        <w:rPr>
          <w:rFonts w:ascii="仿宋_GB2312" w:hAnsi="仿宋_GB2312" w:eastAsia="仿宋_GB2312" w:cs="仿宋_GB2312"/>
          <w:sz w:val="32"/>
          <w:szCs w:val="32"/>
        </w:rPr>
      </w:pPr>
    </w:p>
    <w:p w14:paraId="436513FB">
      <w:pPr>
        <w:adjustRightInd w:val="0"/>
        <w:snapToGrid w:val="0"/>
        <w:spacing w:line="360" w:lineRule="auto"/>
        <w:rPr>
          <w:rFonts w:ascii="仿宋_GB2312" w:hAnsi="仿宋_GB2312" w:eastAsia="仿宋_GB2312" w:cs="仿宋_GB2312"/>
          <w:sz w:val="32"/>
          <w:szCs w:val="32"/>
        </w:rPr>
      </w:pPr>
    </w:p>
    <w:p w14:paraId="7E23D140">
      <w:pPr>
        <w:adjustRightInd w:val="0"/>
        <w:snapToGrid w:val="0"/>
        <w:spacing w:line="360" w:lineRule="auto"/>
        <w:rPr>
          <w:rFonts w:ascii="仿宋_GB2312" w:hAnsi="仿宋_GB2312" w:eastAsia="仿宋_GB2312" w:cs="仿宋_GB2312"/>
          <w:sz w:val="32"/>
          <w:szCs w:val="32"/>
        </w:rPr>
      </w:pPr>
    </w:p>
    <w:p w14:paraId="1430689D">
      <w:pPr>
        <w:adjustRightInd w:val="0"/>
        <w:snapToGrid w:val="0"/>
        <w:spacing w:line="360" w:lineRule="auto"/>
        <w:rPr>
          <w:rFonts w:ascii="仿宋_GB2312" w:hAnsi="仿宋_GB2312" w:eastAsia="仿宋_GB2312" w:cs="仿宋_GB2312"/>
          <w:sz w:val="32"/>
          <w:szCs w:val="32"/>
        </w:rPr>
      </w:pPr>
      <w:r>
        <w:drawing>
          <wp:inline distT="0" distB="0" distL="0" distR="0">
            <wp:extent cx="8863330" cy="4751070"/>
            <wp:effectExtent l="0" t="0" r="0" b="0"/>
            <wp:docPr id="193888628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86289"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63330" cy="4751070"/>
                    </a:xfrm>
                    <a:prstGeom prst="rect">
                      <a:avLst/>
                    </a:prstGeom>
                    <a:noFill/>
                    <a:ln>
                      <a:noFill/>
                    </a:ln>
                  </pic:spPr>
                </pic:pic>
              </a:graphicData>
            </a:graphic>
          </wp:inline>
        </w:drawing>
      </w:r>
    </w:p>
    <w:p w14:paraId="14BDA081">
      <w:pPr>
        <w:adjustRightInd w:val="0"/>
        <w:snapToGrid w:val="0"/>
        <w:spacing w:line="360" w:lineRule="auto"/>
      </w:pPr>
    </w:p>
    <w:p w14:paraId="79FDA1A8">
      <w:pPr>
        <w:adjustRightInd w:val="0"/>
        <w:snapToGrid w:val="0"/>
        <w:spacing w:line="360" w:lineRule="auto"/>
        <w:rPr>
          <w:rFonts w:ascii="仿宋_GB2312" w:hAnsi="仿宋_GB2312" w:eastAsia="仿宋_GB2312" w:cs="仿宋_GB2312"/>
          <w:color w:val="FF0000"/>
          <w:sz w:val="32"/>
          <w:szCs w:val="32"/>
        </w:rPr>
      </w:pPr>
    </w:p>
    <w:p w14:paraId="2CDD1154">
      <w:pPr>
        <w:adjustRightInd w:val="0"/>
        <w:snapToGrid w:val="0"/>
        <w:spacing w:line="360" w:lineRule="auto"/>
        <w:rPr>
          <w:rFonts w:ascii="仿宋_GB2312" w:hAnsi="仿宋_GB2312" w:eastAsia="仿宋_GB2312" w:cs="仿宋_GB2312"/>
          <w:color w:val="FF0000"/>
          <w:sz w:val="32"/>
          <w:szCs w:val="32"/>
        </w:rPr>
      </w:pPr>
    </w:p>
    <w:p w14:paraId="6308ED71">
      <w:pPr>
        <w:adjustRightInd w:val="0"/>
        <w:snapToGrid w:val="0"/>
        <w:spacing w:line="360" w:lineRule="auto"/>
        <w:rPr>
          <w:rFonts w:ascii="仿宋_GB2312" w:hAnsi="仿宋_GB2312" w:eastAsia="仿宋_GB2312" w:cs="仿宋_GB2312"/>
          <w:color w:val="FF0000"/>
          <w:sz w:val="32"/>
          <w:szCs w:val="32"/>
        </w:rPr>
      </w:pPr>
      <w:r>
        <w:drawing>
          <wp:inline distT="0" distB="0" distL="0" distR="0">
            <wp:extent cx="9363075" cy="505777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363075" cy="5057775"/>
                    </a:xfrm>
                    <a:prstGeom prst="rect">
                      <a:avLst/>
                    </a:prstGeom>
                    <a:noFill/>
                    <a:ln>
                      <a:noFill/>
                    </a:ln>
                  </pic:spPr>
                </pic:pic>
              </a:graphicData>
            </a:graphic>
          </wp:inline>
        </w:drawing>
      </w:r>
    </w:p>
    <w:p w14:paraId="111A08D1">
      <w:pPr>
        <w:adjustRightInd w:val="0"/>
        <w:snapToGrid w:val="0"/>
        <w:spacing w:line="360" w:lineRule="auto"/>
        <w:rPr>
          <w:rFonts w:ascii="仿宋_GB2312" w:hAnsi="仿宋_GB2312" w:eastAsia="仿宋_GB2312" w:cs="仿宋_GB2312"/>
          <w:color w:val="FF0000"/>
          <w:sz w:val="32"/>
          <w:szCs w:val="32"/>
        </w:rPr>
      </w:pPr>
    </w:p>
    <w:p w14:paraId="5703681F">
      <w:pPr>
        <w:adjustRightInd w:val="0"/>
        <w:snapToGrid w:val="0"/>
        <w:spacing w:line="360" w:lineRule="auto"/>
        <w:rPr>
          <w:rFonts w:ascii="仿宋_GB2312" w:hAnsi="仿宋_GB2312" w:eastAsia="仿宋_GB2312" w:cs="仿宋_GB2312"/>
          <w:color w:val="FF0000"/>
          <w:sz w:val="32"/>
          <w:szCs w:val="32"/>
        </w:rPr>
      </w:pPr>
    </w:p>
    <w:p w14:paraId="1614AC18">
      <w:pPr>
        <w:adjustRightInd w:val="0"/>
        <w:snapToGrid w:val="0"/>
        <w:spacing w:line="360" w:lineRule="auto"/>
        <w:rPr>
          <w:rFonts w:ascii="仿宋_GB2312" w:hAnsi="仿宋_GB2312" w:eastAsia="仿宋_GB2312" w:cs="仿宋_GB2312"/>
          <w:color w:val="FF0000"/>
          <w:sz w:val="32"/>
          <w:szCs w:val="32"/>
        </w:rPr>
      </w:pPr>
      <w:r>
        <w:drawing>
          <wp:inline distT="0" distB="0" distL="0" distR="0">
            <wp:extent cx="8858250" cy="217170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858250" cy="2171700"/>
                    </a:xfrm>
                    <a:prstGeom prst="rect">
                      <a:avLst/>
                    </a:prstGeom>
                    <a:noFill/>
                    <a:ln>
                      <a:noFill/>
                    </a:ln>
                  </pic:spPr>
                </pic:pic>
              </a:graphicData>
            </a:graphic>
          </wp:inline>
        </w:drawing>
      </w:r>
    </w:p>
    <w:p w14:paraId="70F82699">
      <w:pPr>
        <w:adjustRightInd w:val="0"/>
        <w:snapToGrid w:val="0"/>
        <w:spacing w:line="360" w:lineRule="auto"/>
        <w:rPr>
          <w:rFonts w:ascii="仿宋_GB2312" w:hAnsi="仿宋_GB2312" w:eastAsia="仿宋_GB2312" w:cs="仿宋_GB2312"/>
          <w:color w:val="FF0000"/>
          <w:sz w:val="32"/>
          <w:szCs w:val="32"/>
        </w:rPr>
      </w:pPr>
    </w:p>
    <w:p w14:paraId="50CB067B">
      <w:pPr>
        <w:adjustRightInd w:val="0"/>
        <w:snapToGrid w:val="0"/>
        <w:spacing w:line="360" w:lineRule="auto"/>
        <w:rPr>
          <w:rFonts w:ascii="仿宋_GB2312" w:hAnsi="仿宋_GB2312" w:eastAsia="仿宋_GB2312" w:cs="仿宋_GB2312"/>
          <w:color w:val="FF0000"/>
          <w:sz w:val="32"/>
          <w:szCs w:val="32"/>
        </w:rPr>
      </w:pPr>
    </w:p>
    <w:p w14:paraId="14B5D79A">
      <w:pPr>
        <w:adjustRightInd w:val="0"/>
        <w:snapToGrid w:val="0"/>
        <w:spacing w:line="360" w:lineRule="auto"/>
        <w:rPr>
          <w:rFonts w:ascii="仿宋_GB2312" w:hAnsi="仿宋_GB2312" w:eastAsia="仿宋_GB2312" w:cs="仿宋_GB2312"/>
          <w:color w:val="FF0000"/>
          <w:sz w:val="32"/>
          <w:szCs w:val="32"/>
        </w:rPr>
      </w:pPr>
    </w:p>
    <w:p w14:paraId="6812E0ED">
      <w:pPr>
        <w:adjustRightInd w:val="0"/>
        <w:snapToGrid w:val="0"/>
        <w:spacing w:line="360" w:lineRule="auto"/>
        <w:rPr>
          <w:rFonts w:ascii="仿宋_GB2312" w:hAnsi="仿宋_GB2312" w:eastAsia="仿宋_GB2312" w:cs="仿宋_GB2312"/>
          <w:color w:val="FF0000"/>
          <w:sz w:val="32"/>
          <w:szCs w:val="32"/>
        </w:rPr>
      </w:pPr>
    </w:p>
    <w:p w14:paraId="56DB1AC4">
      <w:pPr>
        <w:adjustRightInd w:val="0"/>
        <w:snapToGrid w:val="0"/>
        <w:spacing w:line="360" w:lineRule="auto"/>
        <w:rPr>
          <w:rFonts w:ascii="仿宋_GB2312" w:hAnsi="仿宋_GB2312" w:eastAsia="仿宋_GB2312" w:cs="仿宋_GB2312"/>
          <w:color w:val="FF0000"/>
          <w:sz w:val="32"/>
          <w:szCs w:val="32"/>
        </w:rPr>
      </w:pPr>
    </w:p>
    <w:p w14:paraId="43064FD0">
      <w:pPr>
        <w:adjustRightInd w:val="0"/>
        <w:snapToGrid w:val="0"/>
        <w:spacing w:line="360" w:lineRule="auto"/>
        <w:rPr>
          <w:rFonts w:ascii="仿宋_GB2312" w:hAnsi="仿宋_GB2312" w:eastAsia="仿宋_GB2312" w:cs="仿宋_GB2312"/>
          <w:color w:val="FF0000"/>
          <w:sz w:val="32"/>
          <w:szCs w:val="32"/>
        </w:rPr>
      </w:pPr>
      <w:r>
        <w:drawing>
          <wp:inline distT="0" distB="0" distL="0" distR="0">
            <wp:extent cx="8858250" cy="20383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858250" cy="2038350"/>
                    </a:xfrm>
                    <a:prstGeom prst="rect">
                      <a:avLst/>
                    </a:prstGeom>
                    <a:noFill/>
                    <a:ln>
                      <a:noFill/>
                    </a:ln>
                  </pic:spPr>
                </pic:pic>
              </a:graphicData>
            </a:graphic>
          </wp:inline>
        </w:drawing>
      </w:r>
    </w:p>
    <w:p w14:paraId="4EC066F8">
      <w:pPr>
        <w:adjustRightInd w:val="0"/>
        <w:snapToGrid w:val="0"/>
        <w:spacing w:line="360" w:lineRule="auto"/>
      </w:pPr>
    </w:p>
    <w:p w14:paraId="116D561C">
      <w:pPr>
        <w:adjustRightInd w:val="0"/>
        <w:snapToGrid w:val="0"/>
        <w:spacing w:line="360" w:lineRule="auto"/>
        <w:rPr>
          <w:rFonts w:ascii="仿宋_GB2312" w:hAnsi="仿宋_GB2312" w:eastAsia="仿宋_GB2312" w:cs="仿宋_GB2312"/>
          <w:color w:val="FF0000"/>
          <w:sz w:val="32"/>
          <w:szCs w:val="32"/>
        </w:rPr>
      </w:pPr>
    </w:p>
    <w:p w14:paraId="7F34AD61">
      <w:pPr>
        <w:adjustRightInd w:val="0"/>
        <w:snapToGrid w:val="0"/>
        <w:spacing w:line="360" w:lineRule="auto"/>
        <w:rPr>
          <w:rFonts w:ascii="仿宋_GB2312" w:hAnsi="仿宋_GB2312" w:eastAsia="仿宋_GB2312" w:cs="仿宋_GB2312"/>
          <w:color w:val="FF0000"/>
          <w:sz w:val="32"/>
          <w:szCs w:val="32"/>
        </w:rPr>
      </w:pPr>
    </w:p>
    <w:p w14:paraId="2BEEE7B3">
      <w:pPr>
        <w:adjustRightInd w:val="0"/>
        <w:snapToGrid w:val="0"/>
        <w:spacing w:line="360" w:lineRule="auto"/>
        <w:rPr>
          <w:rFonts w:ascii="仿宋_GB2312" w:hAnsi="仿宋_GB2312" w:eastAsia="仿宋_GB2312" w:cs="仿宋_GB2312"/>
          <w:color w:val="FF0000"/>
          <w:sz w:val="32"/>
          <w:szCs w:val="32"/>
        </w:rPr>
      </w:pPr>
    </w:p>
    <w:p w14:paraId="5F08D5F5">
      <w:pPr>
        <w:adjustRightInd w:val="0"/>
        <w:snapToGrid w:val="0"/>
        <w:spacing w:line="360" w:lineRule="auto"/>
        <w:rPr>
          <w:rFonts w:ascii="仿宋_GB2312" w:hAnsi="仿宋_GB2312" w:eastAsia="仿宋_GB2312" w:cs="仿宋_GB2312"/>
          <w:color w:val="FF0000"/>
          <w:sz w:val="32"/>
          <w:szCs w:val="32"/>
        </w:rPr>
      </w:pPr>
      <w:r>
        <w:drawing>
          <wp:inline distT="0" distB="0" distL="0" distR="0">
            <wp:extent cx="8858250" cy="291465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58250" cy="2914650"/>
                    </a:xfrm>
                    <a:prstGeom prst="rect">
                      <a:avLst/>
                    </a:prstGeom>
                    <a:noFill/>
                    <a:ln>
                      <a:noFill/>
                    </a:ln>
                  </pic:spPr>
                </pic:pic>
              </a:graphicData>
            </a:graphic>
          </wp:inline>
        </w:drawing>
      </w:r>
    </w:p>
    <w:p w14:paraId="71B53E51">
      <w:pPr>
        <w:adjustRightInd w:val="0"/>
        <w:snapToGrid w:val="0"/>
        <w:spacing w:line="360" w:lineRule="auto"/>
        <w:rPr>
          <w:rFonts w:ascii="仿宋_GB2312" w:hAnsi="仿宋_GB2312" w:eastAsia="仿宋_GB2312" w:cs="仿宋_GB2312"/>
          <w:color w:val="FF0000"/>
          <w:sz w:val="32"/>
          <w:szCs w:val="32"/>
        </w:rPr>
      </w:pPr>
    </w:p>
    <w:p w14:paraId="7DAAA220">
      <w:pPr>
        <w:adjustRightInd w:val="0"/>
        <w:snapToGrid w:val="0"/>
        <w:spacing w:line="360" w:lineRule="auto"/>
        <w:rPr>
          <w:rFonts w:ascii="仿宋_GB2312" w:hAnsi="仿宋_GB2312" w:eastAsia="仿宋_GB2312" w:cs="仿宋_GB2312"/>
          <w:color w:val="FF0000"/>
          <w:sz w:val="32"/>
          <w:szCs w:val="32"/>
        </w:rPr>
      </w:pPr>
    </w:p>
    <w:p w14:paraId="6E09A32B">
      <w:pPr>
        <w:adjustRightInd w:val="0"/>
        <w:snapToGrid w:val="0"/>
        <w:spacing w:line="360" w:lineRule="auto"/>
        <w:rPr>
          <w:rFonts w:ascii="仿宋_GB2312" w:hAnsi="仿宋_GB2312" w:eastAsia="仿宋_GB2312" w:cs="仿宋_GB2312"/>
          <w:color w:val="FF0000"/>
          <w:sz w:val="32"/>
          <w:szCs w:val="32"/>
        </w:rPr>
      </w:pPr>
    </w:p>
    <w:p w14:paraId="5E1FD248">
      <w:pPr>
        <w:adjustRightInd w:val="0"/>
        <w:snapToGrid w:val="0"/>
        <w:spacing w:line="360" w:lineRule="auto"/>
        <w:rPr>
          <w:rFonts w:ascii="仿宋_GB2312" w:hAnsi="仿宋_GB2312" w:eastAsia="仿宋_GB2312" w:cs="仿宋_GB2312"/>
          <w:color w:val="FF0000"/>
          <w:sz w:val="32"/>
          <w:szCs w:val="32"/>
        </w:rPr>
      </w:pPr>
    </w:p>
    <w:p w14:paraId="2D07094D">
      <w:pPr>
        <w:adjustRightInd w:val="0"/>
        <w:snapToGrid w:val="0"/>
        <w:spacing w:line="360" w:lineRule="auto"/>
        <w:rPr>
          <w:rFonts w:ascii="仿宋_GB2312" w:hAnsi="仿宋_GB2312" w:eastAsia="仿宋_GB2312" w:cs="仿宋_GB2312"/>
          <w:color w:val="FF0000"/>
          <w:sz w:val="32"/>
          <w:szCs w:val="32"/>
        </w:rPr>
      </w:pPr>
    </w:p>
    <w:p w14:paraId="5D934733">
      <w:pPr>
        <w:adjustRightInd w:val="0"/>
        <w:snapToGrid w:val="0"/>
        <w:spacing w:line="360" w:lineRule="auto"/>
        <w:rPr>
          <w:rFonts w:ascii="仿宋_GB2312" w:hAnsi="仿宋_GB2312" w:eastAsia="仿宋_GB2312" w:cs="仿宋_GB2312"/>
          <w:color w:val="FF0000"/>
          <w:sz w:val="32"/>
          <w:szCs w:val="32"/>
        </w:rPr>
      </w:pPr>
    </w:p>
    <w:p w14:paraId="6019C73B">
      <w:pPr>
        <w:adjustRightInd w:val="0"/>
        <w:snapToGrid w:val="0"/>
        <w:spacing w:line="360" w:lineRule="auto"/>
        <w:rPr>
          <w:rFonts w:ascii="仿宋_GB2312" w:hAnsi="仿宋_GB2312" w:eastAsia="仿宋_GB2312" w:cs="仿宋_GB2312"/>
          <w:color w:val="FF0000"/>
          <w:sz w:val="32"/>
          <w:szCs w:val="32"/>
        </w:rPr>
      </w:pPr>
    </w:p>
    <w:p w14:paraId="2DE3DF01">
      <w:pPr>
        <w:adjustRightInd w:val="0"/>
        <w:snapToGrid w:val="0"/>
        <w:spacing w:line="360" w:lineRule="auto"/>
        <w:rPr>
          <w:rFonts w:ascii="仿宋_GB2312" w:hAnsi="仿宋_GB2312" w:eastAsia="仿宋_GB2312" w:cs="仿宋_GB2312"/>
          <w:color w:val="FF0000"/>
          <w:sz w:val="32"/>
          <w:szCs w:val="32"/>
        </w:rPr>
      </w:pPr>
    </w:p>
    <w:p w14:paraId="2A563663">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AndChars" w:linePitch="312" w:charSpace="0"/>
        </w:sectPr>
      </w:pPr>
    </w:p>
    <w:tbl>
      <w:tblPr>
        <w:tblStyle w:val="6"/>
        <w:tblW w:w="9405" w:type="dxa"/>
        <w:tblInd w:w="93" w:type="dxa"/>
        <w:tblLayout w:type="autofit"/>
        <w:tblCellMar>
          <w:top w:w="0" w:type="dxa"/>
          <w:left w:w="108" w:type="dxa"/>
          <w:bottom w:w="0" w:type="dxa"/>
          <w:right w:w="108" w:type="dxa"/>
        </w:tblCellMar>
      </w:tblPr>
      <w:tblGrid>
        <w:gridCol w:w="1350"/>
        <w:gridCol w:w="1448"/>
        <w:gridCol w:w="2197"/>
        <w:gridCol w:w="1172"/>
        <w:gridCol w:w="3238"/>
      </w:tblGrid>
      <w:tr w14:paraId="24EA60BF">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624FA39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预算11表</w:t>
            </w:r>
          </w:p>
        </w:tc>
      </w:tr>
      <w:tr w14:paraId="4796641E">
        <w:tblPrEx>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14:paraId="40AF06CD">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部门（单位）整体绩效目标表</w:t>
            </w:r>
          </w:p>
        </w:tc>
      </w:tr>
      <w:tr w14:paraId="7E2CB6A7">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4D761498">
            <w:pPr>
              <w:widowControl/>
              <w:jc w:val="center"/>
              <w:textAlignment w:val="center"/>
              <w:rPr>
                <w:rFonts w:ascii="宋体" w:hAnsi="宋体" w:cs="宋体"/>
                <w:b/>
                <w:bCs/>
                <w:color w:val="000000"/>
                <w:sz w:val="24"/>
                <w:szCs w:val="24"/>
              </w:rPr>
            </w:pPr>
            <w:r>
              <w:rPr>
                <w:rFonts w:ascii="宋体" w:hAnsi="宋体" w:cs="宋体"/>
                <w:b/>
                <w:bCs/>
                <w:color w:val="000000"/>
                <w:kern w:val="0"/>
                <w:sz w:val="24"/>
                <w:szCs w:val="24"/>
                <w:lang w:bidi="ar"/>
              </w:rPr>
              <w:t>（2023年度）</w:t>
            </w:r>
          </w:p>
        </w:tc>
      </w:tr>
      <w:tr w14:paraId="2E229F82">
        <w:tblPrEx>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82F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FC7A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安阳市龙安区统计局</w:t>
            </w:r>
          </w:p>
        </w:tc>
      </w:tr>
      <w:tr w14:paraId="7E147392">
        <w:tblPrEx>
          <w:tblCellMar>
            <w:top w:w="0" w:type="dxa"/>
            <w:left w:w="108" w:type="dxa"/>
            <w:bottom w:w="0" w:type="dxa"/>
            <w:right w:w="108" w:type="dxa"/>
          </w:tblCellMar>
        </w:tblPrEx>
        <w:trPr>
          <w:trHeight w:val="90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E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09EF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1、组织领导和协调指导全区统计工作，确保统计数据真实准确、完整及时。</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2、组织实施对全区统计工作的监督检查，组织协调全区执法工作。</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3、贯彻执行国家、省、市国民经济核算制度，配合国家、省、市统计局核算全区生产总值，组织核算各乡（镇、办事处）生产总值，监督管理各乡(镇、办事处）国民经济核算工作。</w:t>
            </w:r>
          </w:p>
        </w:tc>
      </w:tr>
      <w:tr w14:paraId="696B5A5D">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173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29B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388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主要内容</w:t>
            </w:r>
          </w:p>
        </w:tc>
      </w:tr>
      <w:tr w14:paraId="7A589D44">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726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FC28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人口抽样调查</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8B7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人口变动情况</w:t>
            </w:r>
          </w:p>
        </w:tc>
      </w:tr>
      <w:tr w14:paraId="1CE01727">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A41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6514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住户调查</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85F7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居民人均可支配收入情况</w:t>
            </w:r>
          </w:p>
        </w:tc>
      </w:tr>
      <w:tr w14:paraId="32644ADB">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5456">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2D9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劳动力调查</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CEDD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就业、失业率情况</w:t>
            </w:r>
          </w:p>
        </w:tc>
      </w:tr>
      <w:tr w14:paraId="669B3F17">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A46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8C22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第五次全国经济普查</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DB1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调查二、三产业发展规模</w:t>
            </w:r>
          </w:p>
        </w:tc>
      </w:tr>
      <w:tr w14:paraId="5BC8E340">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6A5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F3A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2F9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276.57</w:t>
            </w:r>
          </w:p>
        </w:tc>
      </w:tr>
      <w:tr w14:paraId="229431A3">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CE94">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7F61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25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276.57</w:t>
            </w:r>
          </w:p>
        </w:tc>
      </w:tr>
      <w:tr w14:paraId="0DB484DB">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86DC">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6A4D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CF33A">
            <w:pPr>
              <w:jc w:val="center"/>
              <w:rPr>
                <w:rFonts w:ascii="宋体" w:hAnsi="宋体" w:cs="宋体"/>
                <w:color w:val="000000"/>
                <w:sz w:val="18"/>
                <w:szCs w:val="18"/>
              </w:rPr>
            </w:pPr>
          </w:p>
        </w:tc>
      </w:tr>
      <w:tr w14:paraId="4CB5ADB3">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FB4E">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EA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AF7A7">
            <w:pPr>
              <w:jc w:val="center"/>
              <w:rPr>
                <w:rFonts w:ascii="宋体" w:hAnsi="宋体" w:cs="宋体"/>
                <w:color w:val="000000"/>
                <w:sz w:val="18"/>
                <w:szCs w:val="18"/>
              </w:rPr>
            </w:pPr>
          </w:p>
        </w:tc>
      </w:tr>
      <w:tr w14:paraId="2E83D7DC">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DA29">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6694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5947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230.57</w:t>
            </w:r>
          </w:p>
        </w:tc>
      </w:tr>
      <w:tr w14:paraId="4609080B">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B763">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2421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4C0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46.00</w:t>
            </w:r>
          </w:p>
        </w:tc>
      </w:tr>
      <w:tr w14:paraId="622FD7C4">
        <w:tblPrEx>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B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3B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2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4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4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指标值说明</w:t>
            </w:r>
          </w:p>
        </w:tc>
      </w:tr>
      <w:tr w14:paraId="76359179">
        <w:tblPrEx>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AA9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4A6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BC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02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A4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7092A01">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8B55">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9A7F">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08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779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E8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3FD7D7F4">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DE32">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C3F3">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3C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08E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350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60922C6">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9BCA">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3E3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2A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DD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7B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1.部门所有收入是否全部纳入部门预算；2.部门支出预算是否统筹各类资金来源，全部纳入部门预算管理。</w:t>
            </w:r>
          </w:p>
        </w:tc>
      </w:tr>
      <w:tr w14:paraId="295FB980">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AA22">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E6CB">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151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07D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48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专项资金细化率=（已细化到具体市县和承担单位的资金数/部门参与分配资金总数）×100%。</w:t>
            </w:r>
          </w:p>
        </w:tc>
      </w:tr>
      <w:tr w14:paraId="034EC92E">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2588">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A785">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5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49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78F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预算执行率=（预算完成数/预算数）×100%。预算完成数指部门实际执行的预算数；预算数指财政部门批复的本年度部门的（调整）预算数。</w:t>
            </w:r>
          </w:p>
        </w:tc>
      </w:tr>
      <w:tr w14:paraId="785A18BF">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A211">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872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712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B7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AA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88C97D1">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B1BD">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FEBF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756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C0D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98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结转结余率=结转结余总额/预算数*100%。结转结余总额是指部门本年度的结转结余资金之和。预算数是指财政部门批复的本年度部门的（调整）预算数。</w:t>
            </w:r>
          </w:p>
        </w:tc>
      </w:tr>
      <w:tr w14:paraId="3B8F21CC">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2E2B">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3E3D">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E3A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768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15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“三公经费”控制率=本年度“三公经费”实际支出数/“三公经费”预算数*100%</w:t>
            </w:r>
          </w:p>
        </w:tc>
      </w:tr>
      <w:tr w14:paraId="228DC4B9">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464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4F7C">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B93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B7F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58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政府采购执行率=（实际政府采购金额/政府采购预算数）×100%。政府采购预算：采购机关根据事业发展计划和行政任务编制的、并经过规定程序批准的年度政府采购计划。</w:t>
            </w:r>
          </w:p>
        </w:tc>
      </w:tr>
      <w:tr w14:paraId="70172CCB">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949E">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3D0C">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F2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8DB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0B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反映本部门决算工作情况。决算编制数据是否账表一致，即决算报表数据与会计账簿数据是否一致。</w:t>
            </w:r>
          </w:p>
        </w:tc>
      </w:tr>
      <w:tr w14:paraId="269345F9">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9E5A8">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3495">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3F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AA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DF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2BB1FF0">
        <w:tblPrEx>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DA62">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BF0C">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B85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3C5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935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2AD7D38D">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28B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A7D7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6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0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B7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54ACC9BD">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9F6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1669A">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EBA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B5B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15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2DD1F6F">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AE5AA">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5E27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绩效管理  </w:t>
            </w:r>
          </w:p>
        </w:tc>
        <w:tc>
          <w:tcPr>
            <w:tcW w:w="2198" w:type="dxa"/>
            <w:tcBorders>
              <w:top w:val="nil"/>
              <w:left w:val="nil"/>
              <w:bottom w:val="nil"/>
              <w:right w:val="nil"/>
            </w:tcBorders>
            <w:shd w:val="clear" w:color="auto" w:fill="auto"/>
            <w:vAlign w:val="center"/>
          </w:tcPr>
          <w:p w14:paraId="3C9FD6E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0CC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277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部门（单位）按要求编制绩效目标的项目数量占应编制绩效目标项目总数的比重。部门目标编制完成率=已完成绩效目标编制项目数量/部门应编制绩效目标项目总数*100%</w:t>
            </w:r>
          </w:p>
        </w:tc>
      </w:tr>
      <w:tr w14:paraId="45005B51">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6E0B">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653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5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318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7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部门（单位）按要求实施绩效监控的项目数量占应实施绩效监控项目总数的比重。部门绩效监控完成率=已完成绩效监控项目数量/部门项目总数*100%</w:t>
            </w:r>
          </w:p>
        </w:tc>
      </w:tr>
      <w:tr w14:paraId="5155461F">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CD3D">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33F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58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054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CD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部门（单位）按要求实施绩效自评的项目数量占应实施绩效自评项目总数的比重。部门绩效自评完成率=已完成评价项目数量/部门项目总数*100%</w:t>
            </w:r>
          </w:p>
        </w:tc>
      </w:tr>
      <w:tr w14:paraId="029AFA85">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1239">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0872">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A41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F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45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部门重点绩效评价项目评价完成情况。部门绩效评价完成率=已完成评价项目数量/部门重点绩效评价项目数*100%</w:t>
            </w:r>
          </w:p>
        </w:tc>
      </w:tr>
      <w:tr w14:paraId="46257AF2">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AE04">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590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F20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AA1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F47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绩效监控、单位自评、部门绩效评价、财政重点绩效评价结果应用情况。评价结果应用率=评价提出的意见建议采纳数/提出的意见建议总数*100%</w:t>
            </w:r>
          </w:p>
        </w:tc>
      </w:tr>
      <w:tr w14:paraId="07CA6503">
        <w:tblPrEx>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08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18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815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第五次全国经济普查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AE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C559">
            <w:pPr>
              <w:rPr>
                <w:rFonts w:ascii="宋体" w:hAnsi="宋体" w:cs="宋体"/>
                <w:color w:val="000000"/>
                <w:sz w:val="18"/>
                <w:szCs w:val="18"/>
              </w:rPr>
            </w:pPr>
          </w:p>
        </w:tc>
      </w:tr>
      <w:tr w14:paraId="430CCC69">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FFFA">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6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09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整体工作完成率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CD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1DE">
            <w:pPr>
              <w:rPr>
                <w:rFonts w:ascii="宋体" w:hAnsi="宋体" w:cs="宋体"/>
                <w:color w:val="000000"/>
                <w:sz w:val="18"/>
                <w:szCs w:val="18"/>
              </w:rPr>
            </w:pPr>
          </w:p>
        </w:tc>
      </w:tr>
      <w:tr w14:paraId="1E311FFE">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CF5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26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439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工作目标合理性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923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DED">
            <w:pPr>
              <w:rPr>
                <w:rFonts w:ascii="宋体" w:hAnsi="宋体" w:cs="宋体"/>
                <w:color w:val="000000"/>
                <w:sz w:val="18"/>
                <w:szCs w:val="18"/>
              </w:rPr>
            </w:pPr>
          </w:p>
        </w:tc>
      </w:tr>
      <w:tr w14:paraId="47204557">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98D3">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27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7E9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对口部门满意度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676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9AB4">
            <w:pPr>
              <w:rPr>
                <w:rFonts w:ascii="宋体" w:hAnsi="宋体" w:cs="宋体"/>
                <w:color w:val="000000"/>
                <w:sz w:val="18"/>
                <w:szCs w:val="18"/>
              </w:rPr>
            </w:pPr>
          </w:p>
        </w:tc>
      </w:tr>
    </w:tbl>
    <w:p w14:paraId="64EABC1E">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AndChars" w:linePitch="312" w:charSpace="0"/>
        </w:sectPr>
      </w:pPr>
    </w:p>
    <w:p w14:paraId="0BF0D898">
      <w:pPr>
        <w:adjustRightInd w:val="0"/>
        <w:snapToGrid w:val="0"/>
        <w:spacing w:line="360" w:lineRule="auto"/>
        <w:rPr>
          <w:rFonts w:ascii="仿宋_GB2312" w:hAnsi="仿宋_GB2312" w:eastAsia="仿宋_GB2312" w:cs="仿宋_GB2312"/>
          <w:color w:val="FF0000"/>
          <w:sz w:val="32"/>
          <w:szCs w:val="32"/>
        </w:rPr>
      </w:pPr>
      <w:r>
        <w:drawing>
          <wp:inline distT="0" distB="0" distL="0" distR="0">
            <wp:extent cx="9439275" cy="259080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439275" cy="2590800"/>
                    </a:xfrm>
                    <a:prstGeom prst="rect">
                      <a:avLst/>
                    </a:prstGeom>
                    <a:noFill/>
                    <a:ln>
                      <a:noFill/>
                    </a:ln>
                  </pic:spPr>
                </pic:pic>
              </a:graphicData>
            </a:graphic>
          </wp:inline>
        </w:drawing>
      </w: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F11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YzRjYzFhODM3NzEzNmY4MmVlZTJmZjE5MDdmNTYifQ=="/>
  </w:docVars>
  <w:rsids>
    <w:rsidRoot w:val="006B7E0B"/>
    <w:rsid w:val="00024957"/>
    <w:rsid w:val="00026E9A"/>
    <w:rsid w:val="00044158"/>
    <w:rsid w:val="000445AA"/>
    <w:rsid w:val="000642D8"/>
    <w:rsid w:val="00073592"/>
    <w:rsid w:val="00080DD7"/>
    <w:rsid w:val="00081132"/>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A6E80"/>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1DCD"/>
    <w:rsid w:val="00DC3D97"/>
    <w:rsid w:val="00DC6FBB"/>
    <w:rsid w:val="00DC798D"/>
    <w:rsid w:val="00DE78A9"/>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5532A0D"/>
    <w:rsid w:val="07EF2419"/>
    <w:rsid w:val="0D8A5782"/>
    <w:rsid w:val="0D9555DD"/>
    <w:rsid w:val="0DF80C70"/>
    <w:rsid w:val="0E5E16BA"/>
    <w:rsid w:val="14B962E5"/>
    <w:rsid w:val="175C51BC"/>
    <w:rsid w:val="189C68A9"/>
    <w:rsid w:val="1AA05907"/>
    <w:rsid w:val="1AA556D9"/>
    <w:rsid w:val="1B084590"/>
    <w:rsid w:val="1BDA1C79"/>
    <w:rsid w:val="1E107DD1"/>
    <w:rsid w:val="1E711508"/>
    <w:rsid w:val="27087198"/>
    <w:rsid w:val="284A0C33"/>
    <w:rsid w:val="2AE5745A"/>
    <w:rsid w:val="2BC2096A"/>
    <w:rsid w:val="2C35005E"/>
    <w:rsid w:val="2CB847EB"/>
    <w:rsid w:val="2E112405"/>
    <w:rsid w:val="2E5859B2"/>
    <w:rsid w:val="2FC73D1B"/>
    <w:rsid w:val="3171432E"/>
    <w:rsid w:val="33EF31E8"/>
    <w:rsid w:val="35610116"/>
    <w:rsid w:val="3B007A89"/>
    <w:rsid w:val="3DF52925"/>
    <w:rsid w:val="3EBF7D18"/>
    <w:rsid w:val="3EDE27D7"/>
    <w:rsid w:val="3FEC3BE7"/>
    <w:rsid w:val="43D62EB7"/>
    <w:rsid w:val="49290AF3"/>
    <w:rsid w:val="4B911B6E"/>
    <w:rsid w:val="4F6F0016"/>
    <w:rsid w:val="54A35BFD"/>
    <w:rsid w:val="55ED6C72"/>
    <w:rsid w:val="5B131D9A"/>
    <w:rsid w:val="5BDB6F6A"/>
    <w:rsid w:val="5E692095"/>
    <w:rsid w:val="641973E9"/>
    <w:rsid w:val="6B364C12"/>
    <w:rsid w:val="6FA20423"/>
    <w:rsid w:val="72BA4DCB"/>
    <w:rsid w:val="786F6474"/>
    <w:rsid w:val="79111DCE"/>
    <w:rsid w:val="795D3D1D"/>
    <w:rsid w:val="7ADA6863"/>
    <w:rsid w:val="7CF3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semiHidden/>
    <w:qFormat/>
    <w:locked/>
    <w:uiPriority w:val="99"/>
    <w:rPr>
      <w:rFonts w:ascii="Calibri" w:hAnsi="Calibri" w:eastAsia="宋体" w:cs="Times New Roman"/>
      <w:sz w:val="18"/>
      <w:szCs w:val="18"/>
    </w:rPr>
  </w:style>
  <w:style w:type="character" w:customStyle="1" w:styleId="9">
    <w:name w:val="页脚 字符"/>
    <w:link w:val="4"/>
    <w:qFormat/>
    <w:locked/>
    <w:uiPriority w:val="99"/>
    <w:rPr>
      <w:rFonts w:ascii="Calibri" w:hAnsi="Calibri" w:eastAsia="宋体" w:cs="Times New Roman"/>
      <w:sz w:val="18"/>
      <w:szCs w:val="18"/>
    </w:rPr>
  </w:style>
  <w:style w:type="character" w:customStyle="1" w:styleId="10">
    <w:name w:val="页眉 字符"/>
    <w:link w:val="5"/>
    <w:qFormat/>
    <w:locked/>
    <w:uiPriority w:val="99"/>
    <w:rPr>
      <w:rFonts w:ascii="Calibri" w:hAnsi="Calibri" w:eastAsia="宋体" w:cs="Times New Roman"/>
      <w:sz w:val="18"/>
      <w:szCs w:val="18"/>
    </w:rPr>
  </w:style>
  <w:style w:type="character" w:customStyle="1" w:styleId="11">
    <w:name w:val="纯文本 字符"/>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6047</Words>
  <Characters>6389</Characters>
  <Lines>49</Lines>
  <Paragraphs>13</Paragraphs>
  <TotalTime>35</TotalTime>
  <ScaleCrop>false</ScaleCrop>
  <LinksUpToDate>false</LinksUpToDate>
  <CharactersWithSpaces>6594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2024-09-19T00:06:00Z</dcterms:created>
  <dc:creator>lenovo</dc:creator>
  <cp:lastModifiedBy>发条橙</cp:lastModifiedBy>
  <cp:lastPrinted>2021-04-16T07:34:00Z</cp:lastPrinted>
  <dcterms:modified xsi:type="dcterms:W3CDTF">2024-09-23T09:30:14Z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