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DD3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60"/>
          <w:szCs w:val="60"/>
        </w:rPr>
      </w:pPr>
    </w:p>
    <w:p w14:paraId="22AA8204">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宋体" w:hAnsi="宋体" w:eastAsia="宋体" w:cs="宋体"/>
          <w:b/>
          <w:bCs w:val="0"/>
          <w:sz w:val="72"/>
          <w:szCs w:val="72"/>
        </w:rPr>
      </w:pPr>
      <w:r>
        <w:rPr>
          <w:rFonts w:hint="eastAsia" w:ascii="宋体" w:hAnsi="宋体" w:eastAsia="宋体" w:cs="宋体"/>
          <w:b/>
          <w:bCs w:val="0"/>
          <w:sz w:val="72"/>
          <w:szCs w:val="72"/>
        </w:rPr>
        <w:t>安阳市龙安区农业农村局</w:t>
      </w:r>
    </w:p>
    <w:p w14:paraId="7F0431D0">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宋体" w:hAnsi="宋体" w:eastAsia="宋体" w:cs="宋体"/>
          <w:b/>
          <w:bCs w:val="0"/>
          <w:sz w:val="72"/>
          <w:szCs w:val="72"/>
        </w:rPr>
      </w:pPr>
      <w:r>
        <w:rPr>
          <w:rFonts w:hint="eastAsia" w:ascii="宋体" w:hAnsi="宋体" w:eastAsia="宋体" w:cs="宋体"/>
          <w:b/>
          <w:bCs w:val="0"/>
          <w:sz w:val="72"/>
          <w:szCs w:val="72"/>
        </w:rPr>
        <w:t>2023年度部门预算公开说明</w:t>
      </w:r>
    </w:p>
    <w:p w14:paraId="4B7CFB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hAnsi="Times New Roman" w:eastAsia="方正小标宋简体"/>
          <w:b/>
          <w:sz w:val="84"/>
          <w:szCs w:val="84"/>
        </w:rPr>
      </w:pPr>
    </w:p>
    <w:p w14:paraId="35C56A9F">
      <w:pPr>
        <w:kinsoku w:val="0"/>
        <w:overflowPunct w:val="0"/>
        <w:adjustRightInd w:val="0"/>
        <w:snapToGrid w:val="0"/>
        <w:spacing w:line="360" w:lineRule="auto"/>
        <w:ind w:right="-58"/>
        <w:rPr>
          <w:rFonts w:ascii="方正小标宋简体" w:hAnsi="Times New Roman" w:eastAsia="方正小标宋简体"/>
          <w:b/>
          <w:sz w:val="84"/>
          <w:szCs w:val="84"/>
        </w:rPr>
      </w:pPr>
    </w:p>
    <w:p w14:paraId="5C2954E4">
      <w:pPr>
        <w:kinsoku w:val="0"/>
        <w:overflowPunct w:val="0"/>
        <w:adjustRightInd w:val="0"/>
        <w:snapToGrid w:val="0"/>
        <w:spacing w:line="360" w:lineRule="auto"/>
        <w:ind w:right="-58"/>
        <w:rPr>
          <w:rFonts w:ascii="方正小标宋简体" w:hAnsi="Times New Roman" w:eastAsia="方正小标宋简体"/>
          <w:b/>
          <w:sz w:val="84"/>
          <w:szCs w:val="84"/>
        </w:rPr>
      </w:pPr>
    </w:p>
    <w:p w14:paraId="1F8631B4">
      <w:pPr>
        <w:kinsoku w:val="0"/>
        <w:overflowPunct w:val="0"/>
        <w:adjustRightInd w:val="0"/>
        <w:snapToGrid w:val="0"/>
        <w:spacing w:line="360" w:lineRule="auto"/>
        <w:ind w:right="-58"/>
        <w:rPr>
          <w:rFonts w:ascii="方正小标宋简体" w:hAnsi="Times New Roman" w:eastAsia="方正小标宋简体"/>
          <w:b/>
          <w:sz w:val="84"/>
          <w:szCs w:val="84"/>
        </w:rPr>
      </w:pPr>
    </w:p>
    <w:p w14:paraId="623637C6">
      <w:pPr>
        <w:kinsoku w:val="0"/>
        <w:overflowPunct w:val="0"/>
        <w:adjustRightInd w:val="0"/>
        <w:snapToGrid w:val="0"/>
        <w:spacing w:line="360" w:lineRule="auto"/>
        <w:ind w:right="-58"/>
        <w:jc w:val="center"/>
        <w:rPr>
          <w:rFonts w:hint="eastAsia" w:ascii="宋体" w:hAnsi="宋体"/>
          <w:b/>
          <w:sz w:val="44"/>
          <w:szCs w:val="44"/>
        </w:rPr>
      </w:pPr>
    </w:p>
    <w:p w14:paraId="37C5D2F9">
      <w:pPr>
        <w:kinsoku w:val="0"/>
        <w:overflowPunct w:val="0"/>
        <w:adjustRightInd w:val="0"/>
        <w:snapToGrid w:val="0"/>
        <w:spacing w:line="360" w:lineRule="auto"/>
        <w:ind w:right="-58"/>
        <w:jc w:val="center"/>
        <w:rPr>
          <w:rFonts w:hint="eastAsia" w:ascii="宋体" w:hAnsi="宋体"/>
          <w:b w:val="0"/>
          <w:bCs/>
          <w:sz w:val="44"/>
          <w:szCs w:val="44"/>
        </w:rPr>
      </w:pPr>
      <w:r>
        <w:rPr>
          <w:rFonts w:hint="eastAsia" w:ascii="宋体" w:hAnsi="宋体"/>
          <w:b w:val="0"/>
          <w:bCs/>
          <w:sz w:val="44"/>
          <w:szCs w:val="44"/>
        </w:rPr>
        <w:t>2023年7月17日</w:t>
      </w:r>
    </w:p>
    <w:p w14:paraId="6A9D8778">
      <w:pPr>
        <w:kinsoku w:val="0"/>
        <w:overflowPunct w:val="0"/>
        <w:adjustRightInd w:val="0"/>
        <w:snapToGrid w:val="0"/>
        <w:spacing w:line="360" w:lineRule="auto"/>
        <w:ind w:right="-58"/>
        <w:jc w:val="center"/>
        <w:rPr>
          <w:rFonts w:hint="eastAsia" w:ascii="宋体" w:hAnsi="宋体"/>
          <w:b/>
          <w:sz w:val="44"/>
          <w:szCs w:val="44"/>
        </w:rPr>
      </w:pPr>
    </w:p>
    <w:p w14:paraId="6E2B7A2C">
      <w:pPr>
        <w:keepNext w:val="0"/>
        <w:keepLines w:val="0"/>
        <w:pageBreakBefore w:val="0"/>
        <w:widowControl w:val="0"/>
        <w:kinsoku w:val="0"/>
        <w:wordWrap/>
        <w:overflowPunct w:val="0"/>
        <w:topLinePunct w:val="0"/>
        <w:bidi w:val="0"/>
        <w:adjustRightInd w:val="0"/>
        <w:snapToGrid w:val="0"/>
        <w:spacing w:line="560" w:lineRule="exact"/>
        <w:jc w:val="center"/>
        <w:textAlignment w:val="auto"/>
        <w:rPr>
          <w:rFonts w:ascii="黑体" w:hAnsi="Times New Roman" w:eastAsia="黑体" w:cs="黑体"/>
          <w:sz w:val="56"/>
          <w:szCs w:val="56"/>
        </w:rPr>
      </w:pPr>
      <w:r>
        <w:rPr>
          <w:rFonts w:hint="eastAsia" w:ascii="黑体" w:hAnsi="Times New Roman" w:eastAsia="黑体" w:cs="黑体"/>
          <w:sz w:val="56"/>
          <w:szCs w:val="56"/>
        </w:rPr>
        <w:t>目  录</w:t>
      </w:r>
    </w:p>
    <w:p w14:paraId="336F6575">
      <w:pPr>
        <w:keepNext w:val="0"/>
        <w:keepLines w:val="0"/>
        <w:pageBreakBefore w:val="0"/>
        <w:widowControl w:val="0"/>
        <w:kinsoku w:val="0"/>
        <w:wordWrap/>
        <w:overflowPunct w:val="0"/>
        <w:topLinePunct w:val="0"/>
        <w:bidi w:val="0"/>
        <w:adjustRightInd w:val="0"/>
        <w:snapToGrid w:val="0"/>
        <w:spacing w:line="560" w:lineRule="exact"/>
        <w:ind w:firstLine="640" w:firstLineChars="200"/>
        <w:textAlignment w:val="auto"/>
        <w:rPr>
          <w:rFonts w:ascii="黑体" w:hAnsi="Times New Roman" w:eastAsia="黑体" w:cs="黑体"/>
          <w:w w:val="99"/>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sz w:val="32"/>
          <w:szCs w:val="32"/>
        </w:rPr>
        <w:t>部门</w:t>
      </w:r>
      <w:r>
        <w:rPr>
          <w:rFonts w:hint="eastAsia" w:ascii="黑体" w:hAnsi="Times New Roman" w:eastAsia="黑体" w:cs="黑体"/>
          <w:sz w:val="32"/>
          <w:szCs w:val="32"/>
        </w:rPr>
        <w:t>概况</w:t>
      </w:r>
    </w:p>
    <w:p w14:paraId="407A45BE">
      <w:pPr>
        <w:keepNext w:val="0"/>
        <w:keepLines w:val="0"/>
        <w:pageBreakBefore w:val="0"/>
        <w:widowControl w:val="0"/>
        <w:kinsoku w:val="0"/>
        <w:wordWrap/>
        <w:overflowPunct w:val="0"/>
        <w:topLinePunct w:val="0"/>
        <w:bidi w:val="0"/>
        <w:adjustRightInd w:val="0"/>
        <w:snapToGrid w:val="0"/>
        <w:spacing w:line="560" w:lineRule="exact"/>
        <w:ind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14:paraId="77A2C3FF">
      <w:pPr>
        <w:keepNext w:val="0"/>
        <w:keepLines w:val="0"/>
        <w:pageBreakBefore w:val="0"/>
        <w:widowControl w:val="0"/>
        <w:kinsoku w:val="0"/>
        <w:wordWrap/>
        <w:overflowPunct w:val="0"/>
        <w:topLinePunct w:val="0"/>
        <w:bidi w:val="0"/>
        <w:adjustRightInd w:val="0"/>
        <w:snapToGrid w:val="0"/>
        <w:spacing w:line="560" w:lineRule="exact"/>
        <w:ind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14:paraId="0702FEB6">
      <w:pPr>
        <w:keepNext w:val="0"/>
        <w:keepLines w:val="0"/>
        <w:pageBreakBefore w:val="0"/>
        <w:widowControl w:val="0"/>
        <w:kinsoku w:val="0"/>
        <w:wordWrap/>
        <w:overflowPunct w:val="0"/>
        <w:topLinePunct w:val="0"/>
        <w:bidi w:val="0"/>
        <w:adjustRightInd w:val="0"/>
        <w:snapToGrid w:val="0"/>
        <w:spacing w:line="560" w:lineRule="exact"/>
        <w:ind w:firstLine="640" w:firstLineChars="200"/>
        <w:textAlignment w:val="auto"/>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w:t>
      </w:r>
      <w:r>
        <w:rPr>
          <w:rFonts w:hint="eastAsia" w:ascii="黑体" w:hAnsi="Times New Roman" w:eastAsia="黑体" w:cs="黑体"/>
          <w:sz w:val="32"/>
          <w:szCs w:val="32"/>
        </w:rPr>
        <w:t xml:space="preserve"> </w:t>
      </w:r>
      <w:r>
        <w:rPr>
          <w:rFonts w:ascii="黑体" w:hAnsi="Times New Roman" w:eastAsia="黑体" w:cs="黑体"/>
          <w:sz w:val="32"/>
          <w:szCs w:val="32"/>
        </w:rPr>
        <w:t>20</w:t>
      </w:r>
      <w:r>
        <w:rPr>
          <w:rFonts w:hint="eastAsia" w:ascii="黑体" w:hAnsi="Times New Roman" w:eastAsia="黑体" w:cs="黑体"/>
          <w:sz w:val="32"/>
          <w:szCs w:val="32"/>
        </w:rPr>
        <w:t>23年度部门预算情况说明</w:t>
      </w:r>
    </w:p>
    <w:p w14:paraId="0E51F62D">
      <w:pPr>
        <w:keepNext w:val="0"/>
        <w:keepLines w:val="0"/>
        <w:pageBreakBefore w:val="0"/>
        <w:widowControl w:val="0"/>
        <w:kinsoku w:val="0"/>
        <w:wordWrap/>
        <w:overflowPunct w:val="0"/>
        <w:topLinePunct w:val="0"/>
        <w:bidi w:val="0"/>
        <w:adjustRightInd w:val="0"/>
        <w:snapToGrid w:val="0"/>
        <w:spacing w:line="560" w:lineRule="exact"/>
        <w:jc w:val="left"/>
        <w:textAlignment w:val="auto"/>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一、部门收支总体情况说明</w:t>
      </w:r>
    </w:p>
    <w:p w14:paraId="6E66EAAA">
      <w:pPr>
        <w:keepNext w:val="0"/>
        <w:keepLines w:val="0"/>
        <w:pageBreakBefore w:val="0"/>
        <w:widowControl w:val="0"/>
        <w:kinsoku w:val="0"/>
        <w:wordWrap/>
        <w:overflowPunct w:val="0"/>
        <w:topLinePunct w:val="0"/>
        <w:bidi w:val="0"/>
        <w:adjustRightInd w:val="0"/>
        <w:snapToGrid w:val="0"/>
        <w:spacing w:line="560" w:lineRule="exact"/>
        <w:jc w:val="left"/>
        <w:textAlignment w:val="auto"/>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二、部门收入总体情况说明</w:t>
      </w:r>
    </w:p>
    <w:p w14:paraId="0814019C">
      <w:pPr>
        <w:keepNext w:val="0"/>
        <w:keepLines w:val="0"/>
        <w:pageBreakBefore w:val="0"/>
        <w:widowControl w:val="0"/>
        <w:kinsoku w:val="0"/>
        <w:wordWrap/>
        <w:overflowPunct w:val="0"/>
        <w:topLinePunct w:val="0"/>
        <w:bidi w:val="0"/>
        <w:adjustRightInd w:val="0"/>
        <w:snapToGrid w:val="0"/>
        <w:spacing w:line="560" w:lineRule="exact"/>
        <w:ind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三、部门支出总体情况说明</w:t>
      </w:r>
    </w:p>
    <w:p w14:paraId="6B775AC7">
      <w:pPr>
        <w:keepNext w:val="0"/>
        <w:keepLines w:val="0"/>
        <w:pageBreakBefore w:val="0"/>
        <w:widowControl w:val="0"/>
        <w:kinsoku w:val="0"/>
        <w:wordWrap/>
        <w:overflowPunct w:val="0"/>
        <w:topLinePunct w:val="0"/>
        <w:bidi w:val="0"/>
        <w:adjustRightInd w:val="0"/>
        <w:snapToGrid w:val="0"/>
        <w:spacing w:line="560" w:lineRule="exact"/>
        <w:jc w:val="left"/>
        <w:textAlignment w:val="auto"/>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四、财政拨款收支</w:t>
      </w:r>
      <w:bookmarkStart w:id="1" w:name="_GoBack"/>
      <w:bookmarkEnd w:id="1"/>
      <w:r>
        <w:rPr>
          <w:rFonts w:hint="eastAsia" w:ascii="仿宋_GB2312" w:hAnsi="Times New Roman" w:eastAsia="仿宋_GB2312" w:cs="仿宋_GB2312"/>
          <w:sz w:val="32"/>
          <w:szCs w:val="32"/>
        </w:rPr>
        <w:t>总体情况说明</w:t>
      </w:r>
    </w:p>
    <w:p w14:paraId="348AC25C">
      <w:pPr>
        <w:keepNext w:val="0"/>
        <w:keepLines w:val="0"/>
        <w:pageBreakBefore w:val="0"/>
        <w:widowControl w:val="0"/>
        <w:kinsoku w:val="0"/>
        <w:wordWrap/>
        <w:overflowPunct w:val="0"/>
        <w:topLinePunct w:val="0"/>
        <w:bidi w:val="0"/>
        <w:adjustRightInd w:val="0"/>
        <w:snapToGrid w:val="0"/>
        <w:spacing w:line="560" w:lineRule="exact"/>
        <w:jc w:val="left"/>
        <w:textAlignment w:val="auto"/>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五、一般公共预算支出情况说明</w:t>
      </w:r>
    </w:p>
    <w:p w14:paraId="6D076579">
      <w:pPr>
        <w:keepNext w:val="0"/>
        <w:keepLines w:val="0"/>
        <w:pageBreakBefore w:val="0"/>
        <w:widowControl w:val="0"/>
        <w:kinsoku w:val="0"/>
        <w:wordWrap/>
        <w:overflowPunct w:val="0"/>
        <w:topLinePunct w:val="0"/>
        <w:bidi w:val="0"/>
        <w:adjustRightInd w:val="0"/>
        <w:snapToGrid w:val="0"/>
        <w:spacing w:line="560" w:lineRule="exact"/>
        <w:ind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六、一般公共预算基本支出情况说明</w:t>
      </w:r>
    </w:p>
    <w:p w14:paraId="2216C13A">
      <w:pPr>
        <w:keepNext w:val="0"/>
        <w:keepLines w:val="0"/>
        <w:pageBreakBefore w:val="0"/>
        <w:widowControl w:val="0"/>
        <w:kinsoku w:val="0"/>
        <w:wordWrap/>
        <w:overflowPunct w:val="0"/>
        <w:topLinePunct w:val="0"/>
        <w:bidi w:val="0"/>
        <w:adjustRightInd w:val="0"/>
        <w:snapToGrid w:val="0"/>
        <w:spacing w:line="560" w:lineRule="exact"/>
        <w:jc w:val="left"/>
        <w:textAlignment w:val="auto"/>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七、一般公共预算“三公”经费支出预算情况说明</w:t>
      </w:r>
    </w:p>
    <w:p w14:paraId="62050B8A">
      <w:pPr>
        <w:keepNext w:val="0"/>
        <w:keepLines w:val="0"/>
        <w:pageBreakBefore w:val="0"/>
        <w:widowControl w:val="0"/>
        <w:kinsoku w:val="0"/>
        <w:wordWrap/>
        <w:overflowPunct w:val="0"/>
        <w:topLinePunct w:val="0"/>
        <w:bidi w:val="0"/>
        <w:adjustRightInd w:val="0"/>
        <w:snapToGrid w:val="0"/>
        <w:spacing w:line="560" w:lineRule="exact"/>
        <w:jc w:val="left"/>
        <w:textAlignment w:val="auto"/>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八、政府性基金预算支出情况说明</w:t>
      </w:r>
    </w:p>
    <w:p w14:paraId="4C6BE202">
      <w:pPr>
        <w:keepNext w:val="0"/>
        <w:keepLines w:val="0"/>
        <w:pageBreakBefore w:val="0"/>
        <w:widowControl w:val="0"/>
        <w:kinsoku w:val="0"/>
        <w:wordWrap/>
        <w:overflowPunct w:val="0"/>
        <w:topLinePunct w:val="0"/>
        <w:bidi w:val="0"/>
        <w:adjustRightInd w:val="0"/>
        <w:snapToGrid w:val="0"/>
        <w:spacing w:line="560" w:lineRule="exact"/>
        <w:ind w:firstLine="960" w:firstLineChars="300"/>
        <w:jc w:val="left"/>
        <w:textAlignment w:val="auto"/>
        <w:rPr>
          <w:rFonts w:ascii="仿宋_GB2312" w:eastAsia="仿宋_GB2312"/>
          <w:b/>
          <w:color w:val="000000"/>
          <w:sz w:val="32"/>
          <w:szCs w:val="32"/>
          <w:shd w:val="clear" w:color="auto" w:fill="FFFFFF"/>
        </w:rPr>
      </w:pPr>
      <w:r>
        <w:rPr>
          <w:rFonts w:hint="eastAsia" w:ascii="仿宋_GB2312" w:hAnsi="Times New Roman" w:eastAsia="仿宋_GB2312" w:cs="仿宋_GB2312"/>
          <w:sz w:val="32"/>
          <w:szCs w:val="32"/>
        </w:rPr>
        <w:t>九、</w:t>
      </w:r>
      <w:r>
        <w:rPr>
          <w:rFonts w:hint="eastAsia" w:ascii="仿宋_GB2312" w:eastAsia="仿宋_GB2312"/>
          <w:color w:val="000000"/>
          <w:sz w:val="32"/>
          <w:szCs w:val="32"/>
          <w:shd w:val="clear" w:color="auto" w:fill="FFFFFF"/>
        </w:rPr>
        <w:t>其他重要事项的情况说明</w:t>
      </w:r>
    </w:p>
    <w:p w14:paraId="0D8EFA4A">
      <w:pPr>
        <w:keepNext w:val="0"/>
        <w:keepLines w:val="0"/>
        <w:pageBreakBefore w:val="0"/>
        <w:widowControl w:val="0"/>
        <w:kinsoku w:val="0"/>
        <w:wordWrap/>
        <w:overflowPunct w:val="0"/>
        <w:topLinePunct w:val="0"/>
        <w:bidi w:val="0"/>
        <w:adjustRightInd w:val="0"/>
        <w:snapToGrid w:val="0"/>
        <w:spacing w:line="560" w:lineRule="exact"/>
        <w:ind w:firstLine="640" w:firstLineChars="200"/>
        <w:jc w:val="left"/>
        <w:textAlignment w:val="auto"/>
        <w:rPr>
          <w:rFonts w:ascii="黑体" w:hAnsi="黑体" w:eastAsia="黑体"/>
          <w:sz w:val="32"/>
          <w:szCs w:val="32"/>
        </w:rPr>
      </w:pPr>
      <w:r>
        <w:rPr>
          <w:rFonts w:hint="eastAsia" w:ascii="黑体" w:hAnsi="Times New Roman" w:eastAsia="黑体" w:cs="黑体"/>
          <w:sz w:val="32"/>
          <w:szCs w:val="32"/>
        </w:rPr>
        <w:t xml:space="preserve">第三部分  </w:t>
      </w:r>
      <w:r>
        <w:rPr>
          <w:rFonts w:hint="eastAsia" w:ascii="黑体" w:hAnsi="黑体" w:eastAsia="黑体"/>
          <w:sz w:val="32"/>
          <w:szCs w:val="32"/>
        </w:rPr>
        <w:t>名词解释</w:t>
      </w:r>
    </w:p>
    <w:p w14:paraId="5878EDEE">
      <w:pPr>
        <w:keepNext w:val="0"/>
        <w:keepLines w:val="0"/>
        <w:pageBreakBefore w:val="0"/>
        <w:widowControl w:val="0"/>
        <w:kinsoku w:val="0"/>
        <w:wordWrap/>
        <w:overflowPunct w:val="0"/>
        <w:topLinePunct w:val="0"/>
        <w:bidi w:val="0"/>
        <w:adjustRightInd w:val="0"/>
        <w:snapToGrid w:val="0"/>
        <w:spacing w:line="560" w:lineRule="exact"/>
        <w:ind w:firstLine="630"/>
        <w:textAlignment w:val="auto"/>
        <w:rPr>
          <w:rFonts w:ascii="黑体" w:hAnsi="Times New Roman" w:eastAsia="黑体" w:cs="黑体"/>
          <w:sz w:val="32"/>
          <w:szCs w:val="32"/>
        </w:rPr>
      </w:pPr>
      <w:r>
        <w:rPr>
          <w:rFonts w:hint="eastAsia" w:ascii="黑体" w:hAnsi="Times New Roman" w:eastAsia="黑体" w:cs="黑体"/>
          <w:sz w:val="32"/>
          <w:szCs w:val="32"/>
        </w:rPr>
        <w:t xml:space="preserve">第四部分  </w:t>
      </w:r>
      <w:r>
        <w:rPr>
          <w:rFonts w:hint="eastAsia" w:ascii="黑体" w:hAnsi="黑体" w:eastAsia="黑体"/>
          <w:sz w:val="32"/>
          <w:szCs w:val="32"/>
        </w:rPr>
        <w:t>附件</w:t>
      </w:r>
      <w:r>
        <w:rPr>
          <w:rFonts w:ascii="黑体" w:hAnsi="Times New Roman" w:eastAsia="黑体" w:cs="黑体"/>
          <w:sz w:val="32"/>
          <w:szCs w:val="32"/>
        </w:rPr>
        <w:t>20</w:t>
      </w:r>
      <w:r>
        <w:rPr>
          <w:rFonts w:hint="eastAsia" w:ascii="黑体" w:hAnsi="Times New Roman" w:eastAsia="黑体" w:cs="黑体"/>
          <w:sz w:val="32"/>
          <w:szCs w:val="32"/>
        </w:rPr>
        <w:t>23年度部门预算表</w:t>
      </w:r>
    </w:p>
    <w:p w14:paraId="7D479905">
      <w:pPr>
        <w:keepNext w:val="0"/>
        <w:keepLines w:val="0"/>
        <w:pageBreakBefore w:val="0"/>
        <w:widowControl w:val="0"/>
        <w:kinsoku w:val="0"/>
        <w:wordWrap/>
        <w:overflowPunct w:val="0"/>
        <w:topLinePunct w:val="0"/>
        <w:bidi w:val="0"/>
        <w:adjustRightInd w:val="0"/>
        <w:snapToGrid w:val="0"/>
        <w:spacing w:line="560" w:lineRule="exact"/>
        <w:ind w:right="51"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部门收支预算表</w:t>
      </w:r>
    </w:p>
    <w:p w14:paraId="1487D314">
      <w:pPr>
        <w:keepNext w:val="0"/>
        <w:keepLines w:val="0"/>
        <w:pageBreakBefore w:val="0"/>
        <w:widowControl w:val="0"/>
        <w:kinsoku w:val="0"/>
        <w:wordWrap/>
        <w:overflowPunct w:val="0"/>
        <w:topLinePunct w:val="0"/>
        <w:bidi w:val="0"/>
        <w:adjustRightInd w:val="0"/>
        <w:snapToGrid w:val="0"/>
        <w:spacing w:line="560" w:lineRule="exact"/>
        <w:ind w:right="51"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部门收入预算表</w:t>
      </w:r>
    </w:p>
    <w:p w14:paraId="5F1AFEB1">
      <w:pPr>
        <w:keepNext w:val="0"/>
        <w:keepLines w:val="0"/>
        <w:pageBreakBefore w:val="0"/>
        <w:widowControl w:val="0"/>
        <w:kinsoku w:val="0"/>
        <w:wordWrap/>
        <w:overflowPunct w:val="0"/>
        <w:topLinePunct w:val="0"/>
        <w:bidi w:val="0"/>
        <w:adjustRightInd w:val="0"/>
        <w:snapToGrid w:val="0"/>
        <w:spacing w:line="560" w:lineRule="exact"/>
        <w:ind w:right="51" w:firstLine="960" w:firstLineChars="300"/>
        <w:jc w:val="left"/>
        <w:textAlignment w:val="auto"/>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部门支出预算表</w:t>
      </w:r>
    </w:p>
    <w:p w14:paraId="46AD054C">
      <w:pPr>
        <w:keepNext w:val="0"/>
        <w:keepLines w:val="0"/>
        <w:pageBreakBefore w:val="0"/>
        <w:widowControl w:val="0"/>
        <w:kinsoku w:val="0"/>
        <w:wordWrap/>
        <w:overflowPunct w:val="0"/>
        <w:topLinePunct w:val="0"/>
        <w:bidi w:val="0"/>
        <w:adjustRightInd w:val="0"/>
        <w:snapToGrid w:val="0"/>
        <w:spacing w:line="560" w:lineRule="exact"/>
        <w:ind w:right="51"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财政拨款收支预算表</w:t>
      </w:r>
    </w:p>
    <w:p w14:paraId="5FA138C8">
      <w:pPr>
        <w:keepNext w:val="0"/>
        <w:keepLines w:val="0"/>
        <w:pageBreakBefore w:val="0"/>
        <w:widowControl w:val="0"/>
        <w:kinsoku w:val="0"/>
        <w:wordWrap/>
        <w:overflowPunct w:val="0"/>
        <w:topLinePunct w:val="0"/>
        <w:bidi w:val="0"/>
        <w:adjustRightInd w:val="0"/>
        <w:snapToGrid w:val="0"/>
        <w:spacing w:line="560" w:lineRule="exact"/>
        <w:ind w:right="51"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一般公共预算支出预算表</w:t>
      </w:r>
    </w:p>
    <w:p w14:paraId="352700A8">
      <w:pPr>
        <w:keepNext w:val="0"/>
        <w:keepLines w:val="0"/>
        <w:pageBreakBefore w:val="0"/>
        <w:widowControl w:val="0"/>
        <w:kinsoku w:val="0"/>
        <w:wordWrap/>
        <w:overflowPunct w:val="0"/>
        <w:topLinePunct w:val="0"/>
        <w:bidi w:val="0"/>
        <w:adjustRightInd w:val="0"/>
        <w:snapToGrid w:val="0"/>
        <w:spacing w:line="560" w:lineRule="exact"/>
        <w:ind w:right="51"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 w:hAnsi="仿宋" w:eastAsia="仿宋" w:cs="仿宋"/>
          <w:sz w:val="30"/>
          <w:szCs w:val="30"/>
        </w:rPr>
        <w:t>一般公共预算基本支出表</w:t>
      </w:r>
    </w:p>
    <w:p w14:paraId="480EBFC4">
      <w:pPr>
        <w:keepNext w:val="0"/>
        <w:keepLines w:val="0"/>
        <w:pageBreakBefore w:val="0"/>
        <w:widowControl w:val="0"/>
        <w:kinsoku w:val="0"/>
        <w:wordWrap/>
        <w:overflowPunct w:val="0"/>
        <w:topLinePunct w:val="0"/>
        <w:bidi w:val="0"/>
        <w:adjustRightInd w:val="0"/>
        <w:snapToGrid w:val="0"/>
        <w:spacing w:line="560" w:lineRule="exact"/>
        <w:ind w:right="51"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 w:hAnsi="仿宋" w:eastAsia="仿宋" w:cs="仿宋"/>
          <w:sz w:val="30"/>
          <w:szCs w:val="30"/>
        </w:rPr>
        <w:t>支出经济分类汇总表</w:t>
      </w:r>
    </w:p>
    <w:p w14:paraId="53629EC6">
      <w:pPr>
        <w:keepNext w:val="0"/>
        <w:keepLines w:val="0"/>
        <w:pageBreakBefore w:val="0"/>
        <w:widowControl w:val="0"/>
        <w:kinsoku w:val="0"/>
        <w:wordWrap/>
        <w:overflowPunct w:val="0"/>
        <w:topLinePunct w:val="0"/>
        <w:bidi w:val="0"/>
        <w:adjustRightInd w:val="0"/>
        <w:snapToGrid w:val="0"/>
        <w:spacing w:line="560" w:lineRule="exact"/>
        <w:ind w:right="51" w:firstLine="960" w:firstLineChars="300"/>
        <w:jc w:val="left"/>
        <w:textAlignment w:val="auto"/>
        <w:rPr>
          <w:rFonts w:ascii="仿宋_GB2312" w:eastAsia="仿宋_GB2312"/>
          <w:sz w:val="32"/>
          <w:szCs w:val="32"/>
        </w:rPr>
      </w:pPr>
      <w:r>
        <w:rPr>
          <w:rFonts w:hint="eastAsia" w:ascii="仿宋_GB2312" w:hAnsi="Times New Roman" w:eastAsia="仿宋_GB2312" w:cs="仿宋_GB2312"/>
          <w:sz w:val="32"/>
          <w:szCs w:val="32"/>
        </w:rPr>
        <w:t>八、</w:t>
      </w:r>
      <w:r>
        <w:rPr>
          <w:rFonts w:hint="eastAsia" w:ascii="仿宋" w:hAnsi="仿宋" w:eastAsia="仿宋" w:cs="仿宋"/>
          <w:sz w:val="30"/>
          <w:szCs w:val="30"/>
        </w:rPr>
        <w:t>一般公共预算“三公”经费预算表</w:t>
      </w:r>
    </w:p>
    <w:p w14:paraId="6B4E0C98">
      <w:pPr>
        <w:keepNext w:val="0"/>
        <w:keepLines w:val="0"/>
        <w:pageBreakBefore w:val="0"/>
        <w:widowControl w:val="0"/>
        <w:kinsoku w:val="0"/>
        <w:wordWrap/>
        <w:overflowPunct w:val="0"/>
        <w:topLinePunct w:val="0"/>
        <w:bidi w:val="0"/>
        <w:adjustRightInd w:val="0"/>
        <w:snapToGrid w:val="0"/>
        <w:spacing w:line="560" w:lineRule="exact"/>
        <w:ind w:right="51" w:firstLine="960" w:firstLineChars="300"/>
        <w:jc w:val="left"/>
        <w:textAlignment w:val="auto"/>
        <w:rPr>
          <w:rFonts w:ascii="仿宋_GB2312" w:eastAsia="仿宋_GB2312"/>
          <w:sz w:val="32"/>
          <w:szCs w:val="32"/>
        </w:rPr>
      </w:pPr>
      <w:r>
        <w:rPr>
          <w:rFonts w:hint="eastAsia" w:ascii="仿宋_GB2312" w:eastAsia="仿宋_GB2312"/>
          <w:sz w:val="32"/>
          <w:szCs w:val="32"/>
        </w:rPr>
        <w:t>九、</w:t>
      </w:r>
      <w:r>
        <w:rPr>
          <w:rFonts w:hint="eastAsia" w:ascii="仿宋" w:hAnsi="仿宋" w:eastAsia="仿宋" w:cs="仿宋"/>
          <w:sz w:val="30"/>
          <w:szCs w:val="30"/>
        </w:rPr>
        <w:t>政府性基金预算支出预算表</w:t>
      </w:r>
    </w:p>
    <w:p w14:paraId="33EFDEC6">
      <w:pPr>
        <w:keepNext w:val="0"/>
        <w:keepLines w:val="0"/>
        <w:pageBreakBefore w:val="0"/>
        <w:widowControl w:val="0"/>
        <w:kinsoku w:val="0"/>
        <w:wordWrap/>
        <w:overflowPunct w:val="0"/>
        <w:topLinePunct w:val="0"/>
        <w:bidi w:val="0"/>
        <w:adjustRightInd w:val="0"/>
        <w:snapToGrid w:val="0"/>
        <w:spacing w:line="560" w:lineRule="exact"/>
        <w:ind w:right="51" w:firstLine="960" w:firstLineChars="300"/>
        <w:jc w:val="left"/>
        <w:textAlignment w:val="auto"/>
        <w:rPr>
          <w:rFonts w:ascii="仿宋" w:hAnsi="仿宋" w:eastAsia="仿宋" w:cs="仿宋"/>
          <w:sz w:val="30"/>
          <w:szCs w:val="30"/>
        </w:rPr>
      </w:pPr>
      <w:r>
        <w:rPr>
          <w:rFonts w:hint="eastAsia" w:ascii="仿宋_GB2312" w:eastAsia="仿宋_GB2312"/>
          <w:sz w:val="32"/>
          <w:szCs w:val="32"/>
        </w:rPr>
        <w:t>十、</w:t>
      </w:r>
      <w:r>
        <w:rPr>
          <w:rFonts w:hint="eastAsia" w:ascii="仿宋" w:hAnsi="仿宋" w:eastAsia="仿宋" w:cs="仿宋"/>
          <w:sz w:val="30"/>
          <w:szCs w:val="30"/>
        </w:rPr>
        <w:t>项目支出预算表</w:t>
      </w:r>
    </w:p>
    <w:p w14:paraId="5B8BD906">
      <w:pPr>
        <w:keepNext w:val="0"/>
        <w:keepLines w:val="0"/>
        <w:pageBreakBefore w:val="0"/>
        <w:widowControl w:val="0"/>
        <w:kinsoku w:val="0"/>
        <w:wordWrap/>
        <w:overflowPunct w:val="0"/>
        <w:topLinePunct w:val="0"/>
        <w:bidi w:val="0"/>
        <w:adjustRightInd w:val="0"/>
        <w:snapToGrid w:val="0"/>
        <w:spacing w:line="560" w:lineRule="exact"/>
        <w:ind w:right="51" w:firstLine="900" w:firstLineChars="300"/>
        <w:jc w:val="left"/>
        <w:textAlignment w:val="auto"/>
        <w:rPr>
          <w:rFonts w:ascii="仿宋" w:hAnsi="仿宋" w:eastAsia="仿宋" w:cs="仿宋"/>
          <w:sz w:val="30"/>
          <w:szCs w:val="30"/>
        </w:rPr>
      </w:pPr>
      <w:r>
        <w:rPr>
          <w:rFonts w:hint="eastAsia" w:ascii="仿宋" w:hAnsi="仿宋" w:eastAsia="仿宋" w:cs="仿宋"/>
          <w:sz w:val="30"/>
          <w:szCs w:val="30"/>
        </w:rPr>
        <w:t>十一、部门整体绩效目标表</w:t>
      </w:r>
    </w:p>
    <w:p w14:paraId="66230E3A">
      <w:pPr>
        <w:keepNext w:val="0"/>
        <w:keepLines w:val="0"/>
        <w:pageBreakBefore w:val="0"/>
        <w:widowControl w:val="0"/>
        <w:kinsoku w:val="0"/>
        <w:wordWrap/>
        <w:overflowPunct w:val="0"/>
        <w:topLinePunct w:val="0"/>
        <w:bidi w:val="0"/>
        <w:adjustRightInd w:val="0"/>
        <w:snapToGrid w:val="0"/>
        <w:spacing w:line="560" w:lineRule="exact"/>
        <w:ind w:right="51" w:firstLine="900" w:firstLineChars="300"/>
        <w:jc w:val="left"/>
        <w:textAlignment w:val="auto"/>
        <w:rPr>
          <w:rFonts w:ascii="仿宋" w:hAnsi="仿宋" w:eastAsia="仿宋" w:cs="仿宋"/>
          <w:sz w:val="30"/>
          <w:szCs w:val="30"/>
        </w:rPr>
      </w:pPr>
      <w:r>
        <w:rPr>
          <w:rFonts w:hint="eastAsia" w:ascii="仿宋" w:hAnsi="仿宋" w:eastAsia="仿宋" w:cs="仿宋"/>
          <w:sz w:val="30"/>
          <w:szCs w:val="30"/>
        </w:rPr>
        <w:t>十二、部门预算项目绩效目标表</w:t>
      </w:r>
    </w:p>
    <w:p w14:paraId="1DAED038">
      <w:pPr>
        <w:keepNext w:val="0"/>
        <w:keepLines w:val="0"/>
        <w:pageBreakBefore w:val="0"/>
        <w:widowControl w:val="0"/>
        <w:kinsoku w:val="0"/>
        <w:wordWrap/>
        <w:overflowPunct w:val="0"/>
        <w:topLinePunct w:val="0"/>
        <w:bidi w:val="0"/>
        <w:adjustRightInd w:val="0"/>
        <w:snapToGrid w:val="0"/>
        <w:spacing w:line="560" w:lineRule="exact"/>
        <w:ind w:right="51" w:firstLine="900" w:firstLineChars="300"/>
        <w:jc w:val="left"/>
        <w:textAlignment w:val="auto"/>
        <w:rPr>
          <w:rFonts w:ascii="仿宋" w:hAnsi="仿宋" w:eastAsia="仿宋" w:cs="仿宋"/>
          <w:sz w:val="30"/>
          <w:szCs w:val="30"/>
        </w:rPr>
      </w:pPr>
    </w:p>
    <w:p w14:paraId="02915756">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sz w:val="44"/>
          <w:szCs w:val="32"/>
        </w:rPr>
      </w:pPr>
    </w:p>
    <w:p w14:paraId="2FF2D5F5">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sz w:val="44"/>
          <w:szCs w:val="32"/>
        </w:rPr>
      </w:pPr>
    </w:p>
    <w:p w14:paraId="49340DFC">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sz w:val="44"/>
          <w:szCs w:val="32"/>
        </w:rPr>
      </w:pPr>
    </w:p>
    <w:p w14:paraId="1D7F8A0B">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sz w:val="44"/>
          <w:szCs w:val="32"/>
        </w:rPr>
      </w:pPr>
    </w:p>
    <w:p w14:paraId="384A319B">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sz w:val="44"/>
          <w:szCs w:val="32"/>
        </w:rPr>
      </w:pPr>
    </w:p>
    <w:p w14:paraId="4E8CCDC7">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sz w:val="44"/>
          <w:szCs w:val="32"/>
        </w:rPr>
      </w:pPr>
    </w:p>
    <w:p w14:paraId="27F373EF">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sz w:val="44"/>
          <w:szCs w:val="32"/>
        </w:rPr>
      </w:pPr>
    </w:p>
    <w:p w14:paraId="29B854EF">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sz w:val="44"/>
          <w:szCs w:val="32"/>
        </w:rPr>
      </w:pPr>
    </w:p>
    <w:p w14:paraId="1744B049">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sz w:val="44"/>
          <w:szCs w:val="32"/>
        </w:rPr>
      </w:pPr>
    </w:p>
    <w:p w14:paraId="1FAC4E1B">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sz w:val="44"/>
          <w:szCs w:val="32"/>
        </w:rPr>
      </w:pPr>
    </w:p>
    <w:p w14:paraId="092F98E9">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sz w:val="44"/>
          <w:szCs w:val="32"/>
        </w:rPr>
      </w:pPr>
    </w:p>
    <w:p w14:paraId="6F2CC49F">
      <w:pPr>
        <w:keepNext w:val="0"/>
        <w:keepLines w:val="0"/>
        <w:pageBreakBefore w:val="0"/>
        <w:widowControl w:val="0"/>
        <w:wordWrap/>
        <w:topLinePunct w:val="0"/>
        <w:bidi w:val="0"/>
        <w:adjustRightInd w:val="0"/>
        <w:snapToGrid w:val="0"/>
        <w:spacing w:line="560" w:lineRule="exact"/>
        <w:textAlignment w:val="auto"/>
        <w:rPr>
          <w:rFonts w:ascii="黑体" w:hAnsi="黑体" w:eastAsia="黑体"/>
          <w:sz w:val="44"/>
          <w:szCs w:val="32"/>
        </w:rPr>
      </w:pPr>
    </w:p>
    <w:p w14:paraId="4D221176">
      <w:pPr>
        <w:keepNext w:val="0"/>
        <w:keepLines w:val="0"/>
        <w:pageBreakBefore w:val="0"/>
        <w:widowControl w:val="0"/>
        <w:wordWrap/>
        <w:topLinePunct w:val="0"/>
        <w:bidi w:val="0"/>
        <w:adjustRightInd w:val="0"/>
        <w:snapToGrid w:val="0"/>
        <w:spacing w:line="560" w:lineRule="exact"/>
        <w:textAlignment w:val="auto"/>
        <w:rPr>
          <w:rFonts w:ascii="黑体" w:hAnsi="黑体" w:eastAsia="黑体"/>
          <w:sz w:val="44"/>
          <w:szCs w:val="32"/>
        </w:rPr>
      </w:pPr>
    </w:p>
    <w:p w14:paraId="7B41155C">
      <w:pPr>
        <w:keepNext w:val="0"/>
        <w:keepLines w:val="0"/>
        <w:pageBreakBefore w:val="0"/>
        <w:widowControl w:val="0"/>
        <w:wordWrap/>
        <w:topLinePunct w:val="0"/>
        <w:bidi w:val="0"/>
        <w:adjustRightInd w:val="0"/>
        <w:snapToGrid w:val="0"/>
        <w:spacing w:line="560" w:lineRule="exact"/>
        <w:textAlignment w:val="auto"/>
        <w:rPr>
          <w:rFonts w:ascii="黑体" w:hAnsi="黑体" w:eastAsia="黑体"/>
          <w:sz w:val="44"/>
          <w:szCs w:val="32"/>
        </w:rPr>
      </w:pPr>
    </w:p>
    <w:p w14:paraId="07576B90">
      <w:pPr>
        <w:pStyle w:val="5"/>
        <w:ind w:left="0" w:leftChars="0" w:firstLine="0" w:firstLineChars="0"/>
        <w:rPr>
          <w:rFonts w:ascii="黑体" w:hAnsi="黑体" w:eastAsia="黑体"/>
          <w:sz w:val="44"/>
          <w:szCs w:val="32"/>
        </w:rPr>
      </w:pPr>
    </w:p>
    <w:p w14:paraId="141ED67C">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sz w:val="44"/>
          <w:szCs w:val="32"/>
        </w:rPr>
      </w:pPr>
      <w:r>
        <w:rPr>
          <w:rFonts w:hint="eastAsia" w:ascii="黑体" w:hAnsi="黑体" w:eastAsia="黑体"/>
          <w:sz w:val="44"/>
          <w:szCs w:val="32"/>
        </w:rPr>
        <w:t>第一部分</w:t>
      </w:r>
    </w:p>
    <w:p w14:paraId="39E90792">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sz w:val="44"/>
          <w:szCs w:val="32"/>
        </w:rPr>
      </w:pPr>
      <w:r>
        <w:rPr>
          <w:rFonts w:hint="eastAsia" w:ascii="黑体" w:hAnsi="黑体" w:eastAsia="黑体"/>
          <w:sz w:val="44"/>
          <w:szCs w:val="32"/>
        </w:rPr>
        <w:t>部门概况</w:t>
      </w:r>
    </w:p>
    <w:p w14:paraId="61A90DDB">
      <w:pPr>
        <w:keepNext w:val="0"/>
        <w:keepLines w:val="0"/>
        <w:pageBreakBefore w:val="0"/>
        <w:widowControl w:val="0"/>
        <w:numPr>
          <w:ilvl w:val="0"/>
          <w:numId w:val="1"/>
        </w:numPr>
        <w:wordWrap/>
        <w:topLinePunct w:val="0"/>
        <w:bidi w:val="0"/>
        <w:adjustRightInd w:val="0"/>
        <w:snapToGrid w:val="0"/>
        <w:spacing w:line="560" w:lineRule="exact"/>
        <w:textAlignment w:val="auto"/>
        <w:rPr>
          <w:rFonts w:ascii="宋体" w:hAnsi="宋体"/>
          <w:b/>
          <w:bCs/>
          <w:sz w:val="32"/>
          <w:szCs w:val="32"/>
        </w:rPr>
      </w:pPr>
      <w:r>
        <w:rPr>
          <w:rFonts w:hint="eastAsia" w:ascii="宋体" w:hAnsi="宋体"/>
          <w:b/>
          <w:bCs/>
          <w:sz w:val="32"/>
          <w:szCs w:val="32"/>
        </w:rPr>
        <w:t>部门主要职责</w:t>
      </w:r>
    </w:p>
    <w:p w14:paraId="182F7FD7">
      <w:pPr>
        <w:keepNext w:val="0"/>
        <w:keepLines w:val="0"/>
        <w:pageBreakBefore w:val="0"/>
        <w:widowControl w:val="0"/>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（一）统筹研究和组织实施全区“三农”工作的发展规划、政策，政组织起草农业农村有规范性文件，指导农业综合执法。参与涉农的金融保险等政策制定。</w:t>
      </w:r>
    </w:p>
    <w:p w14:paraId="7F170835">
      <w:pPr>
        <w:keepNext w:val="0"/>
        <w:keepLines w:val="0"/>
        <w:pageBreakBefore w:val="0"/>
        <w:widowControl w:val="0"/>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(二)统筹推动全区发展农村社会事业、农村公共服务、农村文化、农村基础设施和乡村治理。牵头组织改善农村人居环境。指导农村。</w:t>
      </w:r>
    </w:p>
    <w:p w14:paraId="4644C48F">
      <w:pPr>
        <w:keepNext w:val="0"/>
        <w:keepLines w:val="0"/>
        <w:pageBreakBefore w:val="0"/>
        <w:widowControl w:val="0"/>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三)拟订全区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173C0D11">
      <w:pPr>
        <w:keepNext w:val="0"/>
        <w:keepLines w:val="0"/>
        <w:pageBreakBefore w:val="0"/>
        <w:widowControl w:val="0"/>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 xml:space="preserve">(四)指导开展乡村特色产业、农产品加工业、休闲农业、乡镇企业、农业产业化等工作。提出促进农产品流通的建议、培育、保护农业品牌。发布农业农村经济信息，监测分析农业农村经济运行。承担农业统计和农业农村信息化有关工作。                                  </w:t>
      </w:r>
    </w:p>
    <w:p w14:paraId="6F2EE324">
      <w:pPr>
        <w:keepNext w:val="0"/>
        <w:keepLines w:val="0"/>
        <w:pageBreakBefore w:val="0"/>
        <w:widowControl w:val="0"/>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五）负责全区种植业、畜牧业、渔业、农垦、农业机械化等农业各产业的监督管理。指导粮食等农产品生产。组织构建现代农业产业体系、生产体系、经营体系，指导农业标准化生产。负责渔业管理和渔政监督管理。</w:t>
      </w:r>
    </w:p>
    <w:p w14:paraId="703D2B9F">
      <w:pPr>
        <w:keepNext w:val="0"/>
        <w:keepLines w:val="0"/>
        <w:pageBreakBefore w:val="0"/>
        <w:widowControl w:val="0"/>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(六)负责全区农产品质量安全监督管理。组织开展农产品质量安全监测、追溯、风险评估。参与制定农产品质量安全标准并会同有关部门组织实施。指导农业检验检测体系建设。</w:t>
      </w:r>
    </w:p>
    <w:p w14:paraId="3AFB3CF0">
      <w:pPr>
        <w:keepNext w:val="0"/>
        <w:keepLines w:val="0"/>
        <w:pageBreakBefore w:val="0"/>
        <w:widowControl w:val="0"/>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（七）组织全区农业资源区划工作。指导农用地、渔业水域以及农业生物物种资源的保护与管理。组织水生野生动植物保护、耕地及永久基本农田质量保护和高标准农田建设工作。</w:t>
      </w:r>
    </w:p>
    <w:p w14:paraId="4D959F34">
      <w:pPr>
        <w:keepNext w:val="0"/>
        <w:keepLines w:val="0"/>
        <w:pageBreakBefore w:val="0"/>
        <w:widowControl w:val="0"/>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(八)指导全区农产品产地环境管理和农业清洁生产。指导设施农业、生态循环农业、节水农业发展以及农村可再生能源综合开发利用、农业生物质产业发展。承担外来物种管理相关工作。</w:t>
      </w:r>
    </w:p>
    <w:p w14:paraId="727AA373">
      <w:pPr>
        <w:keepNext w:val="0"/>
        <w:keepLines w:val="0"/>
        <w:pageBreakBefore w:val="0"/>
        <w:widowControl w:val="0"/>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九)负责全区有关农业生产资料和农业投入品的监督管理。组织农业生产资料市场体系建设，依据国家有关农业生产资料、兽药质量、兽药残留限量和残留检测方法标准实施监督。组织兽医医政、兽药药政药检工作，负责执业兽医和畜禽屠宰行业管理。</w:t>
      </w:r>
    </w:p>
    <w:p w14:paraId="16752140">
      <w:pPr>
        <w:keepNext w:val="0"/>
        <w:keepLines w:val="0"/>
        <w:pageBreakBefore w:val="0"/>
        <w:widowControl w:val="0"/>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(十)负责全区农业防灾减灾、农作物重大病虫害防治工作。指导动植物防疫检疫体系建设，组织、监督动植物防疫检疫工作，发布疫情并组织扑灭。</w:t>
      </w:r>
    </w:p>
    <w:p w14:paraId="635DF4A3">
      <w:pPr>
        <w:keepNext w:val="0"/>
        <w:keepLines w:val="0"/>
        <w:pageBreakBefore w:val="0"/>
        <w:widowControl w:val="0"/>
        <w:numPr>
          <w:ilvl w:val="0"/>
          <w:numId w:val="2"/>
        </w:numPr>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负责全区农业投资管理。拟订农业投资项目建设规划，提出农业投资规模和方向、扶持农业农村发展财政项目的建议，按规定权限审批农业投资项目，负责农业投资项目资金安排和监督管理。</w:t>
      </w:r>
    </w:p>
    <w:p w14:paraId="229C7EA2">
      <w:pPr>
        <w:keepNext w:val="0"/>
        <w:keepLines w:val="0"/>
        <w:pageBreakBefore w:val="0"/>
        <w:widowControl w:val="0"/>
        <w:numPr>
          <w:ilvl w:val="0"/>
          <w:numId w:val="2"/>
        </w:numPr>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推动全区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19CB2D05">
      <w:pPr>
        <w:keepNext w:val="0"/>
        <w:keepLines w:val="0"/>
        <w:pageBreakBefore w:val="0"/>
        <w:widowControl w:val="0"/>
        <w:numPr>
          <w:ilvl w:val="0"/>
          <w:numId w:val="3"/>
        </w:numPr>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指导全区农业农村人才工作。拟订农业农村人才队伍建设规划并组织实施，指导农业教育和农业职业技能开发，指导新型职业农民培育、农业科技人才培养和农村实用人才培训工作。</w:t>
      </w:r>
    </w:p>
    <w:p w14:paraId="5CEEF567">
      <w:pPr>
        <w:keepNext w:val="0"/>
        <w:keepLines w:val="0"/>
        <w:pageBreakBefore w:val="0"/>
        <w:widowControl w:val="0"/>
        <w:numPr>
          <w:ilvl w:val="0"/>
          <w:numId w:val="2"/>
        </w:numPr>
        <w:wordWrap/>
        <w:topLinePunct w:val="0"/>
        <w:bidi w:val="0"/>
        <w:adjustRightInd w:val="0"/>
        <w:snapToGrid w:val="0"/>
        <w:spacing w:line="560" w:lineRule="exact"/>
        <w:ind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牵头开展全区农业对外合作工作。组织开展农业贸易促进和有关国际交流合作，参与农业贸易谈判工作。提出主要农产品的出口建议，负责农产品出口基地建设并配合有关部门做好农产品出口工作。</w:t>
      </w:r>
    </w:p>
    <w:p w14:paraId="5DDD7230">
      <w:pPr>
        <w:keepNext w:val="0"/>
        <w:keepLines w:val="0"/>
        <w:pageBreakBefore w:val="0"/>
        <w:widowControl w:val="0"/>
        <w:numPr>
          <w:ilvl w:val="0"/>
          <w:numId w:val="4"/>
        </w:numPr>
        <w:wordWrap/>
        <w:topLinePunct w:val="0"/>
        <w:bidi w:val="0"/>
        <w:adjustRightInd w:val="0"/>
        <w:snapToGrid w:val="0"/>
        <w:spacing w:line="560" w:lineRule="exact"/>
        <w:ind w:left="0" w:firstLine="633" w:firstLineChars="198"/>
        <w:textAlignment w:val="auto"/>
        <w:rPr>
          <w:rFonts w:ascii="仿宋" w:hAnsi="仿宋" w:eastAsia="仿宋" w:cs="仿宋"/>
          <w:bCs/>
          <w:sz w:val="32"/>
          <w:szCs w:val="32"/>
        </w:rPr>
      </w:pPr>
      <w:r>
        <w:rPr>
          <w:rFonts w:hint="eastAsia" w:ascii="仿宋" w:hAnsi="仿宋" w:eastAsia="仿宋" w:cs="仿宋"/>
          <w:bCs/>
          <w:sz w:val="32"/>
          <w:szCs w:val="32"/>
        </w:rPr>
        <w:t xml:space="preserve"> 完成区委、区政府和中共安阳市龙安区委农村工作领导小组交办的其他任务。</w:t>
      </w:r>
    </w:p>
    <w:p w14:paraId="752AB5F7">
      <w:pPr>
        <w:keepNext w:val="0"/>
        <w:keepLines w:val="0"/>
        <w:pageBreakBefore w:val="0"/>
        <w:widowControl w:val="0"/>
        <w:wordWrap/>
        <w:topLinePunct w:val="0"/>
        <w:bidi w:val="0"/>
        <w:adjustRightInd w:val="0"/>
        <w:snapToGrid w:val="0"/>
        <w:spacing w:line="560" w:lineRule="exact"/>
        <w:ind w:firstLine="640" w:firstLineChars="200"/>
        <w:textAlignment w:val="auto"/>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部门预</w:t>
      </w:r>
      <w:r>
        <w:rPr>
          <w:rFonts w:hint="eastAsia" w:ascii="宋体" w:hAnsi="宋体"/>
          <w:b/>
          <w:sz w:val="32"/>
          <w:szCs w:val="32"/>
        </w:rPr>
        <w:t>算单位构成</w:t>
      </w:r>
    </w:p>
    <w:p w14:paraId="095526AA">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部门预算有二级机构11个，</w:t>
      </w:r>
      <w:r>
        <w:rPr>
          <w:rFonts w:hint="eastAsia" w:ascii="仿宋_GB2312" w:hAnsi="仿宋_GB2312" w:eastAsia="仿宋_GB2312" w:cs="仿宋_GB2312"/>
          <w:kern w:val="0"/>
          <w:sz w:val="32"/>
          <w:szCs w:val="32"/>
        </w:rPr>
        <w:t>内设机构4个，包括：办公室、农业股、畜牧股、农村社会事业股。</w:t>
      </w:r>
      <w:r>
        <w:rPr>
          <w:rFonts w:hint="eastAsia" w:ascii="仿宋_GB2312" w:hAnsi="宋体" w:eastAsia="仿宋_GB2312" w:cs="宋体"/>
          <w:sz w:val="32"/>
          <w:szCs w:val="32"/>
        </w:rPr>
        <w:t>本预算为汇总预算。纳入本部门2023年度部门预算编报范围的二级预算单位如下：</w:t>
      </w:r>
      <w:r>
        <w:rPr>
          <w:rFonts w:ascii="仿宋_GB2312" w:hAnsi="宋体" w:eastAsia="仿宋_GB2312" w:cs="宋体"/>
          <w:sz w:val="32"/>
          <w:szCs w:val="32"/>
        </w:rPr>
        <w:t xml:space="preserve"> </w:t>
      </w:r>
    </w:p>
    <w:p w14:paraId="23B5A5CF">
      <w:pPr>
        <w:pStyle w:val="6"/>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1、龙安区农业农村局（本级）</w:t>
      </w:r>
    </w:p>
    <w:p w14:paraId="75A0DC6F">
      <w:pPr>
        <w:pStyle w:val="6"/>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sz w:val="32"/>
          <w:szCs w:val="32"/>
        </w:rPr>
        <w:t>2、</w:t>
      </w:r>
      <w:r>
        <w:rPr>
          <w:rFonts w:hint="eastAsia" w:ascii="仿宋_GB2312" w:hAnsi="宋体" w:eastAsia="仿宋_GB2312" w:cs="宋体"/>
          <w:color w:val="000000"/>
          <w:sz w:val="32"/>
          <w:szCs w:val="32"/>
        </w:rPr>
        <w:t>龙安区农业技术推广站</w:t>
      </w:r>
    </w:p>
    <w:p w14:paraId="4879F5EC">
      <w:pPr>
        <w:pStyle w:val="6"/>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3、龙安区蔬菜技术推广站</w:t>
      </w:r>
    </w:p>
    <w:p w14:paraId="0D77973A">
      <w:pPr>
        <w:pStyle w:val="6"/>
        <w:keepNext w:val="0"/>
        <w:keepLines w:val="0"/>
        <w:pageBreakBefore w:val="0"/>
        <w:widowControl w:val="0"/>
        <w:wordWrap/>
        <w:topLinePunct w:val="0"/>
        <w:bidi w:val="0"/>
        <w:snapToGrid w:val="0"/>
        <w:spacing w:line="560" w:lineRule="exact"/>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4、龙安区农业综合执法大队</w:t>
      </w:r>
    </w:p>
    <w:p w14:paraId="0EA43CFE">
      <w:pPr>
        <w:pStyle w:val="6"/>
        <w:keepNext w:val="0"/>
        <w:keepLines w:val="0"/>
        <w:pageBreakBefore w:val="0"/>
        <w:widowControl w:val="0"/>
        <w:wordWrap/>
        <w:topLinePunct w:val="0"/>
        <w:bidi w:val="0"/>
        <w:snapToGrid w:val="0"/>
        <w:spacing w:line="560" w:lineRule="exact"/>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5、龙安区渔政工作站</w:t>
      </w:r>
    </w:p>
    <w:p w14:paraId="1287583B">
      <w:pPr>
        <w:pStyle w:val="6"/>
        <w:keepNext w:val="0"/>
        <w:keepLines w:val="0"/>
        <w:pageBreakBefore w:val="0"/>
        <w:widowControl w:val="0"/>
        <w:wordWrap/>
        <w:topLinePunct w:val="0"/>
        <w:bidi w:val="0"/>
        <w:snapToGrid w:val="0"/>
        <w:spacing w:line="560" w:lineRule="exact"/>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6、龙安区植保植检站</w:t>
      </w:r>
    </w:p>
    <w:p w14:paraId="1B7BC38E">
      <w:pPr>
        <w:pStyle w:val="6"/>
        <w:keepNext w:val="0"/>
        <w:keepLines w:val="0"/>
        <w:pageBreakBefore w:val="0"/>
        <w:widowControl w:val="0"/>
        <w:wordWrap/>
        <w:topLinePunct w:val="0"/>
        <w:bidi w:val="0"/>
        <w:snapToGrid w:val="0"/>
        <w:spacing w:line="560" w:lineRule="exact"/>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7、龙安区农林产品检测中心</w:t>
      </w:r>
    </w:p>
    <w:p w14:paraId="49AAA610">
      <w:pPr>
        <w:pStyle w:val="6"/>
        <w:keepNext w:val="0"/>
        <w:keepLines w:val="0"/>
        <w:pageBreakBefore w:val="0"/>
        <w:widowControl w:val="0"/>
        <w:wordWrap/>
        <w:topLinePunct w:val="0"/>
        <w:bidi w:val="0"/>
        <w:snapToGrid w:val="0"/>
        <w:spacing w:line="560" w:lineRule="exact"/>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8、龙安区农村经济工作站</w:t>
      </w:r>
    </w:p>
    <w:p w14:paraId="30312EBE">
      <w:pPr>
        <w:pStyle w:val="6"/>
        <w:keepNext w:val="0"/>
        <w:keepLines w:val="0"/>
        <w:pageBreakBefore w:val="0"/>
        <w:widowControl w:val="0"/>
        <w:wordWrap/>
        <w:topLinePunct w:val="0"/>
        <w:bidi w:val="0"/>
        <w:snapToGrid w:val="0"/>
        <w:spacing w:line="560" w:lineRule="exact"/>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9、龙安区农村能源站</w:t>
      </w:r>
    </w:p>
    <w:p w14:paraId="3254FCF6">
      <w:pPr>
        <w:pStyle w:val="6"/>
        <w:keepNext w:val="0"/>
        <w:keepLines w:val="0"/>
        <w:pageBreakBefore w:val="0"/>
        <w:widowControl w:val="0"/>
        <w:wordWrap/>
        <w:topLinePunct w:val="0"/>
        <w:bidi w:val="0"/>
        <w:snapToGrid w:val="0"/>
        <w:spacing w:line="560" w:lineRule="exact"/>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10、龙安区新型农村社区建设管理服务中心</w:t>
      </w:r>
    </w:p>
    <w:p w14:paraId="66BB2A58">
      <w:pPr>
        <w:pStyle w:val="6"/>
        <w:keepNext w:val="0"/>
        <w:keepLines w:val="0"/>
        <w:pageBreakBefore w:val="0"/>
        <w:widowControl w:val="0"/>
        <w:wordWrap/>
        <w:topLinePunct w:val="0"/>
        <w:bidi w:val="0"/>
        <w:snapToGrid w:val="0"/>
        <w:spacing w:line="560" w:lineRule="exact"/>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11、龙安区种子公司</w:t>
      </w:r>
    </w:p>
    <w:p w14:paraId="3F51FE22">
      <w:pPr>
        <w:pStyle w:val="6"/>
        <w:keepNext w:val="0"/>
        <w:keepLines w:val="0"/>
        <w:pageBreakBefore w:val="0"/>
        <w:widowControl w:val="0"/>
        <w:wordWrap/>
        <w:topLinePunct w:val="0"/>
        <w:bidi w:val="0"/>
        <w:snapToGrid w:val="0"/>
        <w:spacing w:line="560" w:lineRule="exact"/>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12、龙安区原种场改制事务中心</w:t>
      </w:r>
    </w:p>
    <w:p w14:paraId="2A050005">
      <w:pPr>
        <w:keepNext w:val="0"/>
        <w:keepLines w:val="0"/>
        <w:pageBreakBefore w:val="0"/>
        <w:widowControl w:val="0"/>
        <w:wordWrap/>
        <w:topLinePunct w:val="0"/>
        <w:bidi w:val="0"/>
        <w:adjustRightInd w:val="0"/>
        <w:snapToGrid w:val="0"/>
        <w:spacing w:line="560" w:lineRule="exact"/>
        <w:jc w:val="center"/>
        <w:textAlignment w:val="auto"/>
        <w:rPr>
          <w:rFonts w:ascii="黑体" w:hAnsi="Times New Roman" w:eastAsia="黑体" w:cs="黑体"/>
          <w:sz w:val="32"/>
          <w:szCs w:val="32"/>
        </w:rPr>
      </w:pPr>
    </w:p>
    <w:p w14:paraId="683E21B7">
      <w:pPr>
        <w:keepNext w:val="0"/>
        <w:keepLines w:val="0"/>
        <w:pageBreakBefore w:val="0"/>
        <w:widowControl w:val="0"/>
        <w:wordWrap/>
        <w:topLinePunct w:val="0"/>
        <w:bidi w:val="0"/>
        <w:adjustRightInd w:val="0"/>
        <w:snapToGrid w:val="0"/>
        <w:spacing w:line="560" w:lineRule="exact"/>
        <w:jc w:val="center"/>
        <w:textAlignment w:val="auto"/>
        <w:rPr>
          <w:rFonts w:ascii="黑体" w:hAnsi="Times New Roman" w:eastAsia="黑体" w:cs="黑体"/>
          <w:sz w:val="32"/>
          <w:szCs w:val="32"/>
        </w:rPr>
      </w:pPr>
    </w:p>
    <w:p w14:paraId="158EADFE">
      <w:pPr>
        <w:keepNext w:val="0"/>
        <w:keepLines w:val="0"/>
        <w:pageBreakBefore w:val="0"/>
        <w:widowControl w:val="0"/>
        <w:wordWrap/>
        <w:topLinePunct w:val="0"/>
        <w:bidi w:val="0"/>
        <w:adjustRightInd w:val="0"/>
        <w:snapToGrid w:val="0"/>
        <w:spacing w:line="560" w:lineRule="exact"/>
        <w:jc w:val="center"/>
        <w:textAlignment w:val="auto"/>
        <w:rPr>
          <w:rFonts w:ascii="黑体" w:hAnsi="Times New Roman" w:eastAsia="黑体" w:cs="黑体"/>
          <w:sz w:val="32"/>
          <w:szCs w:val="32"/>
        </w:rPr>
      </w:pPr>
    </w:p>
    <w:p w14:paraId="00EF5CE3">
      <w:pPr>
        <w:keepNext w:val="0"/>
        <w:keepLines w:val="0"/>
        <w:pageBreakBefore w:val="0"/>
        <w:widowControl w:val="0"/>
        <w:wordWrap/>
        <w:topLinePunct w:val="0"/>
        <w:bidi w:val="0"/>
        <w:adjustRightInd w:val="0"/>
        <w:snapToGrid w:val="0"/>
        <w:spacing w:line="560" w:lineRule="exact"/>
        <w:jc w:val="center"/>
        <w:textAlignment w:val="auto"/>
        <w:rPr>
          <w:rFonts w:ascii="宋体" w:hAnsi="宋体" w:cs="黑体"/>
          <w:b/>
          <w:sz w:val="40"/>
          <w:szCs w:val="32"/>
        </w:rPr>
      </w:pPr>
    </w:p>
    <w:p w14:paraId="65EB1C1B">
      <w:pPr>
        <w:keepNext w:val="0"/>
        <w:keepLines w:val="0"/>
        <w:pageBreakBefore w:val="0"/>
        <w:widowControl w:val="0"/>
        <w:wordWrap/>
        <w:topLinePunct w:val="0"/>
        <w:bidi w:val="0"/>
        <w:adjustRightInd w:val="0"/>
        <w:snapToGrid w:val="0"/>
        <w:spacing w:line="560" w:lineRule="exact"/>
        <w:jc w:val="center"/>
        <w:textAlignment w:val="auto"/>
        <w:rPr>
          <w:rFonts w:ascii="宋体" w:hAnsi="宋体" w:cs="黑体"/>
          <w:b/>
          <w:sz w:val="40"/>
          <w:szCs w:val="32"/>
        </w:rPr>
      </w:pPr>
    </w:p>
    <w:p w14:paraId="43007ACA">
      <w:pPr>
        <w:keepNext w:val="0"/>
        <w:keepLines w:val="0"/>
        <w:pageBreakBefore w:val="0"/>
        <w:widowControl w:val="0"/>
        <w:wordWrap/>
        <w:topLinePunct w:val="0"/>
        <w:bidi w:val="0"/>
        <w:adjustRightInd w:val="0"/>
        <w:snapToGrid w:val="0"/>
        <w:spacing w:line="560" w:lineRule="exact"/>
        <w:jc w:val="center"/>
        <w:textAlignment w:val="auto"/>
        <w:rPr>
          <w:rFonts w:ascii="宋体" w:hAnsi="宋体" w:cs="黑体"/>
          <w:b/>
          <w:sz w:val="40"/>
          <w:szCs w:val="32"/>
        </w:rPr>
      </w:pPr>
    </w:p>
    <w:p w14:paraId="5B82B112">
      <w:pPr>
        <w:keepNext w:val="0"/>
        <w:keepLines w:val="0"/>
        <w:pageBreakBefore w:val="0"/>
        <w:widowControl w:val="0"/>
        <w:wordWrap/>
        <w:topLinePunct w:val="0"/>
        <w:bidi w:val="0"/>
        <w:adjustRightInd w:val="0"/>
        <w:snapToGrid w:val="0"/>
        <w:spacing w:line="560" w:lineRule="exact"/>
        <w:jc w:val="both"/>
        <w:textAlignment w:val="auto"/>
        <w:rPr>
          <w:rFonts w:ascii="宋体" w:hAnsi="宋体" w:cs="黑体"/>
          <w:b/>
          <w:sz w:val="40"/>
          <w:szCs w:val="32"/>
        </w:rPr>
      </w:pPr>
    </w:p>
    <w:p w14:paraId="12B2CE40">
      <w:pPr>
        <w:keepNext w:val="0"/>
        <w:keepLines w:val="0"/>
        <w:pageBreakBefore w:val="0"/>
        <w:widowControl w:val="0"/>
        <w:wordWrap/>
        <w:topLinePunct w:val="0"/>
        <w:bidi w:val="0"/>
        <w:adjustRightInd w:val="0"/>
        <w:snapToGrid w:val="0"/>
        <w:spacing w:line="560" w:lineRule="exact"/>
        <w:jc w:val="both"/>
        <w:textAlignment w:val="auto"/>
        <w:rPr>
          <w:rFonts w:ascii="宋体" w:hAnsi="宋体" w:cs="黑体"/>
          <w:b/>
          <w:sz w:val="40"/>
          <w:szCs w:val="32"/>
        </w:rPr>
      </w:pPr>
    </w:p>
    <w:p w14:paraId="5B1C9C0E">
      <w:pPr>
        <w:keepNext w:val="0"/>
        <w:keepLines w:val="0"/>
        <w:pageBreakBefore w:val="0"/>
        <w:widowControl w:val="0"/>
        <w:wordWrap/>
        <w:topLinePunct w:val="0"/>
        <w:bidi w:val="0"/>
        <w:adjustRightInd w:val="0"/>
        <w:snapToGrid w:val="0"/>
        <w:spacing w:line="560" w:lineRule="exact"/>
        <w:jc w:val="both"/>
        <w:textAlignment w:val="auto"/>
        <w:rPr>
          <w:rFonts w:ascii="宋体" w:hAnsi="宋体" w:cs="黑体"/>
          <w:b/>
          <w:sz w:val="40"/>
          <w:szCs w:val="32"/>
        </w:rPr>
      </w:pPr>
    </w:p>
    <w:p w14:paraId="6044F43C">
      <w:pPr>
        <w:keepNext w:val="0"/>
        <w:keepLines w:val="0"/>
        <w:pageBreakBefore w:val="0"/>
        <w:widowControl w:val="0"/>
        <w:wordWrap/>
        <w:topLinePunct w:val="0"/>
        <w:bidi w:val="0"/>
        <w:adjustRightInd w:val="0"/>
        <w:snapToGrid w:val="0"/>
        <w:spacing w:line="560" w:lineRule="exact"/>
        <w:jc w:val="both"/>
        <w:textAlignment w:val="auto"/>
        <w:rPr>
          <w:rFonts w:ascii="宋体" w:hAnsi="宋体" w:cs="黑体"/>
          <w:b/>
          <w:sz w:val="40"/>
          <w:szCs w:val="32"/>
        </w:rPr>
      </w:pPr>
    </w:p>
    <w:p w14:paraId="1E31CB71">
      <w:pPr>
        <w:keepNext w:val="0"/>
        <w:keepLines w:val="0"/>
        <w:pageBreakBefore w:val="0"/>
        <w:widowControl w:val="0"/>
        <w:wordWrap/>
        <w:topLinePunct w:val="0"/>
        <w:bidi w:val="0"/>
        <w:adjustRightInd w:val="0"/>
        <w:snapToGrid w:val="0"/>
        <w:spacing w:line="560" w:lineRule="exact"/>
        <w:jc w:val="both"/>
        <w:textAlignment w:val="auto"/>
        <w:rPr>
          <w:rFonts w:ascii="宋体" w:hAnsi="宋体" w:cs="黑体"/>
          <w:b/>
          <w:sz w:val="40"/>
          <w:szCs w:val="32"/>
        </w:rPr>
      </w:pPr>
    </w:p>
    <w:p w14:paraId="6A79F1F4">
      <w:pPr>
        <w:keepNext w:val="0"/>
        <w:keepLines w:val="0"/>
        <w:pageBreakBefore w:val="0"/>
        <w:widowControl w:val="0"/>
        <w:wordWrap/>
        <w:topLinePunct w:val="0"/>
        <w:bidi w:val="0"/>
        <w:adjustRightInd w:val="0"/>
        <w:snapToGrid w:val="0"/>
        <w:spacing w:line="560" w:lineRule="exact"/>
        <w:jc w:val="both"/>
        <w:textAlignment w:val="auto"/>
        <w:rPr>
          <w:rFonts w:ascii="宋体" w:hAnsi="宋体" w:cs="黑体"/>
          <w:b/>
          <w:sz w:val="40"/>
          <w:szCs w:val="32"/>
        </w:rPr>
      </w:pPr>
    </w:p>
    <w:p w14:paraId="7D48A7D5">
      <w:pPr>
        <w:keepNext w:val="0"/>
        <w:keepLines w:val="0"/>
        <w:pageBreakBefore w:val="0"/>
        <w:widowControl w:val="0"/>
        <w:wordWrap/>
        <w:topLinePunct w:val="0"/>
        <w:bidi w:val="0"/>
        <w:adjustRightInd w:val="0"/>
        <w:snapToGrid w:val="0"/>
        <w:spacing w:line="560" w:lineRule="exact"/>
        <w:jc w:val="both"/>
        <w:textAlignment w:val="auto"/>
        <w:rPr>
          <w:rFonts w:ascii="宋体" w:hAnsi="宋体" w:cs="黑体"/>
          <w:b/>
          <w:sz w:val="40"/>
          <w:szCs w:val="32"/>
        </w:rPr>
      </w:pPr>
    </w:p>
    <w:p w14:paraId="7F5FC66C">
      <w:pPr>
        <w:pStyle w:val="5"/>
        <w:rPr>
          <w:rFonts w:ascii="宋体" w:hAnsi="宋体" w:cs="黑体"/>
          <w:b/>
          <w:sz w:val="40"/>
          <w:szCs w:val="32"/>
        </w:rPr>
      </w:pPr>
    </w:p>
    <w:p w14:paraId="225F8B25">
      <w:pPr>
        <w:pStyle w:val="5"/>
        <w:rPr>
          <w:rFonts w:ascii="宋体" w:hAnsi="宋体" w:cs="黑体"/>
          <w:b/>
          <w:sz w:val="40"/>
          <w:szCs w:val="32"/>
        </w:rPr>
      </w:pPr>
    </w:p>
    <w:p w14:paraId="780A41FA">
      <w:pPr>
        <w:keepNext w:val="0"/>
        <w:keepLines w:val="0"/>
        <w:pageBreakBefore w:val="0"/>
        <w:widowControl w:val="0"/>
        <w:wordWrap/>
        <w:topLinePunct w:val="0"/>
        <w:bidi w:val="0"/>
        <w:adjustRightInd w:val="0"/>
        <w:snapToGrid w:val="0"/>
        <w:spacing w:line="560" w:lineRule="exact"/>
        <w:jc w:val="both"/>
        <w:textAlignment w:val="auto"/>
        <w:rPr>
          <w:rFonts w:ascii="宋体" w:hAnsi="宋体" w:cs="黑体"/>
          <w:b/>
          <w:sz w:val="40"/>
          <w:szCs w:val="32"/>
        </w:rPr>
      </w:pPr>
    </w:p>
    <w:p w14:paraId="6B672C7A">
      <w:pPr>
        <w:keepNext w:val="0"/>
        <w:keepLines w:val="0"/>
        <w:pageBreakBefore w:val="0"/>
        <w:widowControl w:val="0"/>
        <w:wordWrap/>
        <w:topLinePunct w:val="0"/>
        <w:bidi w:val="0"/>
        <w:adjustRightInd w:val="0"/>
        <w:snapToGrid w:val="0"/>
        <w:spacing w:line="560" w:lineRule="exact"/>
        <w:jc w:val="center"/>
        <w:textAlignment w:val="auto"/>
        <w:rPr>
          <w:rFonts w:ascii="宋体" w:hAnsi="宋体" w:cs="黑体"/>
          <w:b/>
          <w:spacing w:val="-38"/>
          <w:sz w:val="40"/>
          <w:szCs w:val="32"/>
        </w:rPr>
      </w:pPr>
      <w:r>
        <w:rPr>
          <w:rFonts w:hint="eastAsia" w:ascii="宋体" w:hAnsi="宋体" w:cs="黑体"/>
          <w:b/>
          <w:sz w:val="40"/>
          <w:szCs w:val="32"/>
        </w:rPr>
        <w:t>第二部分</w:t>
      </w:r>
    </w:p>
    <w:p w14:paraId="0AC3BA5D">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b/>
          <w:bCs/>
          <w:sz w:val="40"/>
          <w:szCs w:val="32"/>
        </w:rPr>
      </w:pPr>
      <w:r>
        <w:rPr>
          <w:rFonts w:ascii="黑体" w:hAnsi="Times New Roman" w:eastAsia="黑体" w:cs="黑体"/>
          <w:b/>
          <w:bCs/>
          <w:sz w:val="40"/>
          <w:szCs w:val="32"/>
        </w:rPr>
        <w:t>20</w:t>
      </w:r>
      <w:r>
        <w:rPr>
          <w:rFonts w:hint="eastAsia" w:ascii="黑体" w:hAnsi="Times New Roman" w:eastAsia="黑体" w:cs="黑体"/>
          <w:b/>
          <w:bCs/>
          <w:sz w:val="40"/>
          <w:szCs w:val="32"/>
        </w:rPr>
        <w:t>23年度部门预算情况说明</w:t>
      </w:r>
    </w:p>
    <w:p w14:paraId="18E2AB8C">
      <w:pPr>
        <w:keepNext w:val="0"/>
        <w:keepLines w:val="0"/>
        <w:pageBreakBefore w:val="0"/>
        <w:widowControl w:val="0"/>
        <w:wordWrap/>
        <w:topLinePunct w:val="0"/>
        <w:bidi w:val="0"/>
        <w:adjustRightInd w:val="0"/>
        <w:snapToGrid w:val="0"/>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一、部门收支总体情况说明</w:t>
      </w:r>
      <w:r>
        <w:rPr>
          <w:rFonts w:ascii="黑体" w:hAnsi="黑体" w:eastAsia="黑体"/>
          <w:color w:val="000000"/>
          <w:sz w:val="32"/>
          <w:szCs w:val="32"/>
        </w:rPr>
        <w:t xml:space="preserve">                    </w:t>
      </w:r>
    </w:p>
    <w:p w14:paraId="48547830">
      <w:pPr>
        <w:keepNext w:val="0"/>
        <w:keepLines w:val="0"/>
        <w:pageBreakBefore w:val="0"/>
        <w:widowControl w:val="0"/>
        <w:wordWrap/>
        <w:topLinePunct w:val="0"/>
        <w:bidi w:val="0"/>
        <w:adjustRightInd w:val="0"/>
        <w:snapToGrid w:val="0"/>
        <w:spacing w:line="560" w:lineRule="exact"/>
        <w:ind w:firstLine="640" w:firstLineChars="200"/>
        <w:textAlignment w:val="auto"/>
        <w:rPr>
          <w:rFonts w:ascii="仿宋_GB2312" w:hAnsi="宋体" w:eastAsia="仿宋_GB2312" w:cs="Courier New"/>
          <w:color w:val="000000"/>
          <w:sz w:val="32"/>
          <w:szCs w:val="32"/>
        </w:rPr>
      </w:pPr>
      <w:r>
        <w:rPr>
          <w:rFonts w:ascii="仿宋_GB2312" w:hAnsi="宋体" w:eastAsia="仿宋_GB2312" w:cs="Courier New"/>
          <w:color w:val="000000"/>
          <w:sz w:val="32"/>
          <w:szCs w:val="32"/>
        </w:rPr>
        <w:t>20</w:t>
      </w:r>
      <w:r>
        <w:rPr>
          <w:rFonts w:hint="eastAsia" w:ascii="仿宋_GB2312" w:hAnsi="宋体" w:eastAsia="仿宋_GB2312" w:cs="Courier New"/>
          <w:color w:val="000000"/>
          <w:sz w:val="32"/>
          <w:szCs w:val="32"/>
        </w:rPr>
        <w:t>23年收入总计5945.28万元，支出总计5945.28万元，与</w:t>
      </w:r>
      <w:r>
        <w:rPr>
          <w:rFonts w:ascii="仿宋_GB2312" w:hAnsi="宋体" w:eastAsia="仿宋_GB2312" w:cs="Courier New"/>
          <w:color w:val="000000"/>
          <w:sz w:val="32"/>
          <w:szCs w:val="32"/>
        </w:rPr>
        <w:t>20</w:t>
      </w:r>
      <w:r>
        <w:rPr>
          <w:rFonts w:hint="eastAsia" w:ascii="仿宋_GB2312" w:hAnsi="宋体" w:eastAsia="仿宋_GB2312" w:cs="Courier New"/>
          <w:color w:val="000000"/>
          <w:sz w:val="32"/>
          <w:szCs w:val="32"/>
        </w:rPr>
        <w:t>22年相比，收支总计各增加</w:t>
      </w:r>
      <w:r>
        <w:rPr>
          <w:rFonts w:hint="eastAsia" w:ascii="仿宋_GB2312" w:eastAsia="仿宋_GB2312"/>
          <w:color w:val="000000"/>
          <w:sz w:val="32"/>
          <w:szCs w:val="32"/>
        </w:rPr>
        <w:t>2700.88</w:t>
      </w:r>
      <w:r>
        <w:rPr>
          <w:rFonts w:hint="eastAsia" w:ascii="仿宋_GB2312" w:hAnsi="宋体" w:eastAsia="仿宋_GB2312" w:cs="Courier New"/>
          <w:color w:val="000000"/>
          <w:sz w:val="32"/>
          <w:szCs w:val="32"/>
        </w:rPr>
        <w:t>万元，增长</w:t>
      </w:r>
      <w:r>
        <w:rPr>
          <w:rFonts w:ascii="仿宋_GB2312" w:hAnsi="宋体" w:eastAsia="仿宋_GB2312" w:cs="Courier New"/>
          <w:color w:val="000000"/>
          <w:sz w:val="32"/>
          <w:szCs w:val="32"/>
        </w:rPr>
        <w:t>221%</w:t>
      </w:r>
      <w:r>
        <w:rPr>
          <w:rFonts w:hint="eastAsia" w:ascii="仿宋_GB2312" w:hAnsi="宋体" w:eastAsia="仿宋_GB2312" w:cs="Courier New"/>
          <w:color w:val="000000"/>
          <w:sz w:val="32"/>
          <w:szCs w:val="32"/>
        </w:rPr>
        <w:t>。主要原因：基本支出、一般性项目支出及收回存量资金增加。</w:t>
      </w:r>
    </w:p>
    <w:p w14:paraId="38B334E7">
      <w:pPr>
        <w:keepNext w:val="0"/>
        <w:keepLines w:val="0"/>
        <w:pageBreakBefore w:val="0"/>
        <w:widowControl w:val="0"/>
        <w:wordWrap/>
        <w:topLinePunct w:val="0"/>
        <w:bidi w:val="0"/>
        <w:snapToGrid w:val="0"/>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二、部门收入总体情况说明</w:t>
      </w:r>
      <w:r>
        <w:rPr>
          <w:rFonts w:ascii="黑体" w:hAnsi="黑体" w:eastAsia="黑体"/>
          <w:color w:val="000000"/>
          <w:sz w:val="32"/>
          <w:szCs w:val="32"/>
        </w:rPr>
        <w:t xml:space="preserve">                  </w:t>
      </w:r>
    </w:p>
    <w:p w14:paraId="0693B03E">
      <w:pPr>
        <w:keepNext w:val="0"/>
        <w:keepLines w:val="0"/>
        <w:pageBreakBefore w:val="0"/>
        <w:widowControl w:val="0"/>
        <w:wordWrap/>
        <w:topLinePunct w:val="0"/>
        <w:bidi w:val="0"/>
        <w:snapToGrid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2023</w:t>
      </w:r>
      <w:r>
        <w:rPr>
          <w:rFonts w:hint="eastAsia" w:ascii="仿宋_GB2312" w:hAnsi="Times New Roman" w:eastAsia="仿宋_GB2312"/>
          <w:color w:val="000000"/>
          <w:sz w:val="32"/>
          <w:szCs w:val="32"/>
        </w:rPr>
        <w:t>年收入合计</w:t>
      </w:r>
      <w:r>
        <w:rPr>
          <w:rFonts w:hint="eastAsia" w:ascii="仿宋_GB2312" w:hAnsi="宋体" w:eastAsia="仿宋_GB2312" w:cs="Courier New"/>
          <w:color w:val="000000"/>
          <w:sz w:val="32"/>
          <w:szCs w:val="32"/>
        </w:rPr>
        <w:t>5945.28</w:t>
      </w:r>
      <w:r>
        <w:rPr>
          <w:rFonts w:hint="eastAsia" w:ascii="仿宋_GB2312" w:hAnsi="Times New Roman" w:eastAsia="仿宋_GB2312"/>
          <w:color w:val="000000"/>
          <w:sz w:val="32"/>
          <w:szCs w:val="32"/>
        </w:rPr>
        <w:t>万元，</w:t>
      </w:r>
      <w:r>
        <w:rPr>
          <w:rFonts w:hint="eastAsia" w:ascii="仿宋_GB2312" w:eastAsia="仿宋_GB2312"/>
          <w:color w:val="000000"/>
          <w:sz w:val="32"/>
          <w:szCs w:val="32"/>
        </w:rPr>
        <w:t>其中：一般公共预算</w:t>
      </w:r>
      <w:r>
        <w:rPr>
          <w:rFonts w:ascii="仿宋_GB2312" w:eastAsia="仿宋_GB2312"/>
          <w:color w:val="000000"/>
          <w:sz w:val="32"/>
          <w:szCs w:val="32"/>
        </w:rPr>
        <w:t>4391.34</w:t>
      </w:r>
      <w:r>
        <w:rPr>
          <w:rFonts w:hint="eastAsia" w:ascii="仿宋_GB2312" w:eastAsia="仿宋_GB2312"/>
          <w:color w:val="000000"/>
          <w:sz w:val="32"/>
          <w:szCs w:val="32"/>
        </w:rPr>
        <w:t>万元</w:t>
      </w:r>
      <w:r>
        <w:rPr>
          <w:rFonts w:ascii="仿宋_GB2312" w:eastAsia="仿宋_GB2312"/>
          <w:color w:val="000000"/>
          <w:sz w:val="32"/>
          <w:szCs w:val="32"/>
        </w:rPr>
        <w:t>;</w:t>
      </w:r>
      <w:r>
        <w:rPr>
          <w:rFonts w:ascii="仿宋_GB2312" w:hAnsi="Times New Roman" w:eastAsia="仿宋_GB2312"/>
          <w:color w:val="000000"/>
          <w:sz w:val="32"/>
          <w:szCs w:val="32"/>
        </w:rPr>
        <w:t xml:space="preserve"> </w:t>
      </w:r>
      <w:r>
        <w:rPr>
          <w:rFonts w:hint="eastAsia" w:ascii="仿宋_GB2312" w:hAnsi="Times New Roman" w:eastAsia="仿宋_GB2312"/>
          <w:color w:val="000000"/>
          <w:sz w:val="32"/>
          <w:szCs w:val="32"/>
        </w:rPr>
        <w:t>政府性基金收入</w:t>
      </w:r>
      <w:r>
        <w:rPr>
          <w:rFonts w:ascii="仿宋_GB2312" w:eastAsia="仿宋_GB2312"/>
          <w:color w:val="000000"/>
          <w:sz w:val="32"/>
          <w:szCs w:val="32"/>
        </w:rPr>
        <w:t>1353.94</w:t>
      </w:r>
      <w:r>
        <w:rPr>
          <w:rFonts w:hint="eastAsia" w:ascii="仿宋_GB2312" w:hAnsi="Times New Roman" w:eastAsia="仿宋_GB2312"/>
          <w:color w:val="000000"/>
          <w:sz w:val="32"/>
          <w:szCs w:val="32"/>
        </w:rPr>
        <w:t>万元；专户管理的教育收费</w:t>
      </w:r>
      <w:r>
        <w:rPr>
          <w:rFonts w:hint="eastAsia" w:ascii="仿宋_GB2312" w:eastAsia="仿宋_GB2312"/>
          <w:color w:val="000000"/>
          <w:sz w:val="32"/>
          <w:szCs w:val="32"/>
        </w:rPr>
        <w:t>0</w:t>
      </w:r>
      <w:r>
        <w:rPr>
          <w:rFonts w:hint="eastAsia" w:ascii="仿宋_GB2312" w:hAnsi="Times New Roman" w:eastAsia="仿宋_GB2312"/>
          <w:color w:val="000000"/>
          <w:sz w:val="32"/>
          <w:szCs w:val="32"/>
        </w:rPr>
        <w:t>万元；国有资本经营预算收入</w:t>
      </w:r>
      <w:r>
        <w:rPr>
          <w:rFonts w:hint="eastAsia" w:ascii="仿宋_GB2312" w:eastAsia="仿宋_GB2312"/>
          <w:color w:val="000000"/>
          <w:sz w:val="32"/>
          <w:szCs w:val="32"/>
        </w:rPr>
        <w:t>0</w:t>
      </w:r>
      <w:r>
        <w:rPr>
          <w:rFonts w:hint="eastAsia" w:ascii="仿宋_GB2312" w:hAnsi="Times New Roman" w:eastAsia="仿宋_GB2312"/>
          <w:color w:val="000000"/>
          <w:sz w:val="32"/>
          <w:szCs w:val="32"/>
        </w:rPr>
        <w:t>万元；事业收入</w:t>
      </w:r>
      <w:r>
        <w:rPr>
          <w:rFonts w:hint="eastAsia" w:ascii="仿宋_GB2312" w:eastAsia="仿宋_GB2312"/>
          <w:color w:val="000000"/>
          <w:sz w:val="32"/>
          <w:szCs w:val="32"/>
        </w:rPr>
        <w:t>0</w:t>
      </w:r>
      <w:r>
        <w:rPr>
          <w:rFonts w:hint="eastAsia" w:ascii="仿宋_GB2312" w:hAnsi="Times New Roman" w:eastAsia="仿宋_GB2312"/>
          <w:color w:val="000000"/>
          <w:sz w:val="32"/>
          <w:szCs w:val="32"/>
        </w:rPr>
        <w:t>万元；经营收入</w:t>
      </w:r>
      <w:r>
        <w:rPr>
          <w:rFonts w:hint="eastAsia" w:ascii="仿宋_GB2312" w:eastAsia="仿宋_GB2312"/>
          <w:color w:val="000000"/>
          <w:sz w:val="32"/>
          <w:szCs w:val="32"/>
        </w:rPr>
        <w:t>0</w:t>
      </w:r>
      <w:r>
        <w:rPr>
          <w:rFonts w:hint="eastAsia" w:ascii="仿宋_GB2312" w:hAnsi="Times New Roman" w:eastAsia="仿宋_GB2312"/>
          <w:color w:val="000000"/>
          <w:sz w:val="32"/>
          <w:szCs w:val="32"/>
        </w:rPr>
        <w:t>万元；其他收入</w:t>
      </w:r>
      <w:r>
        <w:rPr>
          <w:rFonts w:hint="eastAsia" w:ascii="仿宋_GB2312" w:eastAsia="仿宋_GB2312"/>
          <w:color w:val="000000"/>
          <w:sz w:val="32"/>
          <w:szCs w:val="32"/>
        </w:rPr>
        <w:t>0</w:t>
      </w:r>
      <w:r>
        <w:rPr>
          <w:rFonts w:hint="eastAsia" w:ascii="仿宋_GB2312" w:hAnsi="Times New Roman" w:eastAsia="仿宋_GB2312"/>
          <w:color w:val="000000"/>
          <w:sz w:val="32"/>
          <w:szCs w:val="32"/>
        </w:rPr>
        <w:t>万元。</w:t>
      </w:r>
    </w:p>
    <w:p w14:paraId="1A7DDE59">
      <w:pPr>
        <w:keepNext w:val="0"/>
        <w:keepLines w:val="0"/>
        <w:pageBreakBefore w:val="0"/>
        <w:widowControl w:val="0"/>
        <w:wordWrap/>
        <w:topLinePunct w:val="0"/>
        <w:bidi w:val="0"/>
        <w:snapToGrid w:val="0"/>
        <w:spacing w:line="560" w:lineRule="exact"/>
        <w:ind w:firstLine="640" w:firstLineChars="200"/>
        <w:textAlignment w:val="auto"/>
        <w:rPr>
          <w:rFonts w:ascii="仿宋_GB2312" w:eastAsia="仿宋_GB2312"/>
          <w:color w:val="000000"/>
          <w:sz w:val="32"/>
          <w:szCs w:val="32"/>
        </w:rPr>
      </w:pPr>
      <w:r>
        <w:rPr>
          <w:rFonts w:hint="eastAsia" w:ascii="黑体" w:hAnsi="黑体" w:eastAsia="黑体"/>
          <w:color w:val="000000"/>
          <w:sz w:val="32"/>
          <w:szCs w:val="32"/>
        </w:rPr>
        <w:t>三、部门支出总体情况说明</w:t>
      </w:r>
      <w:r>
        <w:rPr>
          <w:rFonts w:ascii="黑体" w:hAnsi="黑体" w:eastAsia="黑体"/>
          <w:color w:val="000000"/>
          <w:sz w:val="32"/>
          <w:szCs w:val="32"/>
        </w:rPr>
        <w:t xml:space="preserve">                     </w:t>
      </w:r>
    </w:p>
    <w:p w14:paraId="4B8BF2A7">
      <w:pPr>
        <w:keepNext w:val="0"/>
        <w:keepLines w:val="0"/>
        <w:pageBreakBefore w:val="0"/>
        <w:widowControl w:val="0"/>
        <w:wordWrap/>
        <w:topLinePunct w:val="0"/>
        <w:bidi w:val="0"/>
        <w:snapToGrid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2023</w:t>
      </w:r>
      <w:r>
        <w:rPr>
          <w:rFonts w:hint="eastAsia" w:ascii="仿宋_GB2312" w:hAnsi="宋体" w:eastAsia="仿宋_GB2312" w:cs="Courier New"/>
          <w:color w:val="000000"/>
          <w:sz w:val="32"/>
          <w:szCs w:val="32"/>
        </w:rPr>
        <w:t>年支出合计</w:t>
      </w:r>
      <w:r>
        <w:rPr>
          <w:rFonts w:ascii="仿宋_GB2312" w:eastAsia="仿宋_GB2312"/>
          <w:color w:val="000000"/>
          <w:sz w:val="32"/>
          <w:szCs w:val="32"/>
        </w:rPr>
        <w:t>5945.28</w:t>
      </w:r>
      <w:r>
        <w:rPr>
          <w:rFonts w:hint="eastAsia" w:ascii="仿宋_GB2312" w:hAnsi="宋体" w:eastAsia="仿宋_GB2312" w:cs="Courier New"/>
          <w:color w:val="000000"/>
          <w:sz w:val="32"/>
          <w:szCs w:val="32"/>
        </w:rPr>
        <w:t>万元，其中：基本支出</w:t>
      </w:r>
      <w:r>
        <w:rPr>
          <w:rFonts w:ascii="仿宋_GB2312" w:eastAsia="仿宋_GB2312"/>
          <w:color w:val="000000"/>
          <w:sz w:val="32"/>
          <w:szCs w:val="32"/>
        </w:rPr>
        <w:t>1201.49</w:t>
      </w:r>
      <w:r>
        <w:rPr>
          <w:rFonts w:hint="eastAsia" w:ascii="仿宋_GB2312" w:hAnsi="宋体" w:eastAsia="仿宋_GB2312" w:cs="Courier New"/>
          <w:color w:val="000000"/>
          <w:sz w:val="32"/>
          <w:szCs w:val="32"/>
        </w:rPr>
        <w:t>万元，占</w:t>
      </w:r>
      <w:r>
        <w:rPr>
          <w:rFonts w:ascii="仿宋_GB2312" w:eastAsia="仿宋_GB2312"/>
          <w:color w:val="000000"/>
          <w:sz w:val="32"/>
          <w:szCs w:val="32"/>
        </w:rPr>
        <w:t>21</w:t>
      </w:r>
      <w:r>
        <w:rPr>
          <w:rFonts w:ascii="仿宋_GB2312" w:hAnsi="宋体" w:eastAsia="仿宋_GB2312" w:cs="Courier New"/>
          <w:color w:val="000000"/>
          <w:sz w:val="32"/>
          <w:szCs w:val="32"/>
        </w:rPr>
        <w:t>%</w:t>
      </w:r>
      <w:r>
        <w:rPr>
          <w:rFonts w:hint="eastAsia" w:ascii="仿宋_GB2312" w:hAnsi="宋体" w:eastAsia="仿宋_GB2312" w:cs="Courier New"/>
          <w:color w:val="000000"/>
          <w:sz w:val="32"/>
          <w:szCs w:val="32"/>
        </w:rPr>
        <w:t>；项目支出</w:t>
      </w:r>
      <w:r>
        <w:rPr>
          <w:rFonts w:ascii="仿宋_GB2312" w:eastAsia="仿宋_GB2312"/>
          <w:color w:val="000000"/>
          <w:sz w:val="32"/>
          <w:szCs w:val="32"/>
        </w:rPr>
        <w:t>4743.79</w:t>
      </w:r>
      <w:r>
        <w:rPr>
          <w:rFonts w:hint="eastAsia" w:ascii="仿宋_GB2312" w:hAnsi="宋体" w:eastAsia="仿宋_GB2312" w:cs="Courier New"/>
          <w:color w:val="000000"/>
          <w:sz w:val="32"/>
          <w:szCs w:val="32"/>
        </w:rPr>
        <w:t>万元，占</w:t>
      </w:r>
      <w:r>
        <w:rPr>
          <w:rFonts w:ascii="仿宋_GB2312" w:eastAsia="仿宋_GB2312"/>
          <w:color w:val="000000"/>
          <w:sz w:val="32"/>
          <w:szCs w:val="32"/>
        </w:rPr>
        <w:t>79</w:t>
      </w:r>
      <w:r>
        <w:rPr>
          <w:rFonts w:ascii="仿宋_GB2312" w:hAnsi="宋体" w:eastAsia="仿宋_GB2312" w:cs="Courier New"/>
          <w:color w:val="000000"/>
          <w:sz w:val="32"/>
          <w:szCs w:val="32"/>
        </w:rPr>
        <w:t>%</w:t>
      </w:r>
      <w:r>
        <w:rPr>
          <w:rFonts w:hint="eastAsia" w:ascii="仿宋_GB2312" w:hAnsi="宋体" w:eastAsia="仿宋_GB2312" w:cs="Courier New"/>
          <w:color w:val="000000"/>
          <w:sz w:val="32"/>
          <w:szCs w:val="32"/>
        </w:rPr>
        <w:t>。</w:t>
      </w:r>
    </w:p>
    <w:p w14:paraId="515DE511">
      <w:pPr>
        <w:keepNext w:val="0"/>
        <w:keepLines w:val="0"/>
        <w:pageBreakBefore w:val="0"/>
        <w:widowControl w:val="0"/>
        <w:wordWrap/>
        <w:topLinePunct w:val="0"/>
        <w:bidi w:val="0"/>
        <w:snapToGrid w:val="0"/>
        <w:spacing w:line="560" w:lineRule="exact"/>
        <w:ind w:firstLine="640" w:firstLineChars="200"/>
        <w:textAlignment w:val="auto"/>
        <w:rPr>
          <w:rFonts w:ascii="仿宋_GB2312" w:eastAsia="仿宋_GB2312"/>
          <w:color w:val="000000"/>
          <w:sz w:val="32"/>
          <w:szCs w:val="32"/>
        </w:rPr>
      </w:pPr>
      <w:r>
        <w:rPr>
          <w:rFonts w:hint="eastAsia" w:ascii="黑体" w:hAnsi="黑体" w:eastAsia="黑体"/>
          <w:color w:val="000000"/>
          <w:sz w:val="32"/>
          <w:szCs w:val="32"/>
        </w:rPr>
        <w:t>四、财政拨款收支总体情况说明</w:t>
      </w:r>
      <w:r>
        <w:rPr>
          <w:rFonts w:ascii="黑体" w:hAnsi="黑体" w:eastAsia="黑体"/>
          <w:color w:val="000000"/>
          <w:sz w:val="32"/>
          <w:szCs w:val="32"/>
        </w:rPr>
        <w:t xml:space="preserve">     </w:t>
      </w:r>
    </w:p>
    <w:p w14:paraId="01CEEB5B">
      <w:pPr>
        <w:keepNext w:val="0"/>
        <w:keepLines w:val="0"/>
        <w:pageBreakBefore w:val="0"/>
        <w:widowControl w:val="0"/>
        <w:wordWrap/>
        <w:topLinePunct w:val="0"/>
        <w:bidi w:val="0"/>
        <w:snapToGrid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2023</w:t>
      </w:r>
      <w:r>
        <w:rPr>
          <w:rFonts w:hint="eastAsia" w:ascii="仿宋_GB2312" w:hAnsi="宋体" w:eastAsia="仿宋_GB2312" w:cs="Courier New"/>
          <w:color w:val="000000"/>
          <w:sz w:val="32"/>
          <w:szCs w:val="32"/>
        </w:rPr>
        <w:t>年一般公共预算收支预算</w:t>
      </w:r>
      <w:r>
        <w:rPr>
          <w:rFonts w:ascii="仿宋_GB2312" w:eastAsia="仿宋_GB2312"/>
          <w:color w:val="000000"/>
          <w:sz w:val="32"/>
          <w:szCs w:val="32"/>
        </w:rPr>
        <w:t>4391.34</w:t>
      </w:r>
      <w:r>
        <w:rPr>
          <w:rFonts w:hint="eastAsia" w:ascii="仿宋_GB2312" w:hAnsi="宋体" w:eastAsia="仿宋_GB2312" w:cs="Courier New"/>
          <w:color w:val="000000"/>
          <w:sz w:val="32"/>
          <w:szCs w:val="32"/>
        </w:rPr>
        <w:t>万元，政府性基金收支预算</w:t>
      </w:r>
      <w:r>
        <w:rPr>
          <w:rFonts w:hint="eastAsia" w:ascii="仿宋_GB2312" w:eastAsia="仿宋_GB2312"/>
          <w:color w:val="000000"/>
          <w:sz w:val="32"/>
          <w:szCs w:val="32"/>
          <w:lang w:val="en-US" w:eastAsia="zh-CN"/>
        </w:rPr>
        <w:t>1553.94</w:t>
      </w:r>
      <w:r>
        <w:rPr>
          <w:rFonts w:hint="eastAsia" w:ascii="仿宋_GB2312" w:hAnsi="宋体" w:eastAsia="仿宋_GB2312" w:cs="Courier New"/>
          <w:color w:val="000000"/>
          <w:sz w:val="32"/>
          <w:szCs w:val="32"/>
        </w:rPr>
        <w:t>万元。与</w:t>
      </w:r>
      <w:r>
        <w:rPr>
          <w:rFonts w:ascii="仿宋_GB2312" w:hAnsi="宋体" w:eastAsia="仿宋_GB2312" w:cs="Courier New"/>
          <w:color w:val="000000"/>
          <w:sz w:val="32"/>
          <w:szCs w:val="32"/>
        </w:rPr>
        <w:t xml:space="preserve"> 20</w:t>
      </w:r>
      <w:r>
        <w:rPr>
          <w:rFonts w:hint="eastAsia" w:ascii="仿宋_GB2312" w:hAnsi="宋体" w:eastAsia="仿宋_GB2312" w:cs="Courier New"/>
          <w:color w:val="000000"/>
          <w:sz w:val="32"/>
          <w:szCs w:val="32"/>
        </w:rPr>
        <w:t>22年相比，一般公共预算收支预算增加</w:t>
      </w:r>
      <w:r>
        <w:rPr>
          <w:rFonts w:ascii="仿宋_GB2312" w:eastAsia="仿宋_GB2312"/>
          <w:color w:val="000000"/>
          <w:sz w:val="32"/>
          <w:szCs w:val="32"/>
        </w:rPr>
        <w:t>1790.33</w:t>
      </w:r>
      <w:r>
        <w:rPr>
          <w:rFonts w:hint="eastAsia" w:ascii="仿宋_GB2312" w:hAnsi="宋体" w:eastAsia="仿宋_GB2312" w:cs="Courier New"/>
          <w:color w:val="000000"/>
          <w:sz w:val="32"/>
          <w:szCs w:val="32"/>
        </w:rPr>
        <w:t>万元，增长</w:t>
      </w:r>
      <w:r>
        <w:rPr>
          <w:rFonts w:ascii="仿宋_GB2312" w:eastAsia="仿宋_GB2312"/>
          <w:color w:val="000000"/>
          <w:sz w:val="32"/>
          <w:szCs w:val="32"/>
        </w:rPr>
        <w:t>69</w:t>
      </w:r>
      <w:r>
        <w:rPr>
          <w:rFonts w:ascii="仿宋_GB2312" w:hAnsi="宋体" w:eastAsia="仿宋_GB2312" w:cs="Courier New"/>
          <w:color w:val="000000"/>
          <w:sz w:val="32"/>
          <w:szCs w:val="32"/>
        </w:rPr>
        <w:t>%</w:t>
      </w:r>
      <w:r>
        <w:rPr>
          <w:rFonts w:hint="eastAsia" w:ascii="仿宋_GB2312" w:hAnsi="宋体" w:eastAsia="仿宋_GB2312" w:cs="Courier New"/>
          <w:color w:val="000000"/>
          <w:sz w:val="32"/>
          <w:szCs w:val="32"/>
        </w:rPr>
        <w:t>，主要原因：</w:t>
      </w:r>
      <w:r>
        <w:rPr>
          <w:rFonts w:hint="eastAsia" w:ascii="仿宋_GB2312" w:eastAsia="仿宋_GB2312"/>
          <w:color w:val="000000"/>
          <w:sz w:val="32"/>
          <w:szCs w:val="32"/>
        </w:rPr>
        <w:t>项目资金增加。</w:t>
      </w:r>
      <w:r>
        <w:rPr>
          <w:rFonts w:hint="eastAsia" w:ascii="仿宋_GB2312" w:hAnsi="宋体" w:eastAsia="仿宋_GB2312" w:cs="Courier New"/>
          <w:color w:val="000000"/>
          <w:sz w:val="32"/>
          <w:szCs w:val="32"/>
        </w:rPr>
        <w:t>政府性基金收支预算增加</w:t>
      </w:r>
      <w:r>
        <w:rPr>
          <w:rFonts w:ascii="仿宋_GB2312" w:eastAsia="仿宋_GB2312"/>
          <w:color w:val="000000"/>
          <w:sz w:val="32"/>
          <w:szCs w:val="32"/>
        </w:rPr>
        <w:t>1454.07</w:t>
      </w:r>
      <w:r>
        <w:rPr>
          <w:rFonts w:hint="eastAsia" w:ascii="仿宋_GB2312" w:hAnsi="宋体" w:eastAsia="仿宋_GB2312" w:cs="Courier New"/>
          <w:color w:val="000000"/>
          <w:sz w:val="32"/>
          <w:szCs w:val="32"/>
        </w:rPr>
        <w:t>万元，增长</w:t>
      </w:r>
      <w:r>
        <w:rPr>
          <w:rFonts w:ascii="仿宋_GB2312" w:eastAsia="仿宋_GB2312"/>
          <w:color w:val="000000"/>
          <w:sz w:val="32"/>
          <w:szCs w:val="32"/>
        </w:rPr>
        <w:t>145</w:t>
      </w:r>
      <w:r>
        <w:rPr>
          <w:rFonts w:hint="eastAsia" w:ascii="仿宋_GB2312" w:eastAsia="仿宋_GB2312"/>
          <w:color w:val="000000"/>
          <w:sz w:val="32"/>
          <w:szCs w:val="32"/>
          <w:lang w:val="en-US" w:eastAsia="zh-CN"/>
        </w:rPr>
        <w:t>6</w:t>
      </w:r>
      <w:r>
        <w:rPr>
          <w:rFonts w:ascii="仿宋_GB2312" w:hAnsi="宋体" w:eastAsia="仿宋_GB2312" w:cs="Courier New"/>
          <w:color w:val="000000"/>
          <w:sz w:val="32"/>
          <w:szCs w:val="32"/>
        </w:rPr>
        <w:t>%</w:t>
      </w:r>
      <w:r>
        <w:rPr>
          <w:rFonts w:hint="eastAsia" w:ascii="仿宋_GB2312" w:hAnsi="宋体" w:eastAsia="仿宋_GB2312" w:cs="Courier New"/>
          <w:color w:val="000000"/>
          <w:sz w:val="32"/>
          <w:szCs w:val="32"/>
        </w:rPr>
        <w:t>。主要原因：</w:t>
      </w:r>
      <w:r>
        <w:rPr>
          <w:rFonts w:hint="eastAsia" w:ascii="仿宋_GB2312" w:eastAsia="仿宋_GB2312"/>
          <w:color w:val="000000"/>
          <w:sz w:val="32"/>
          <w:szCs w:val="32"/>
        </w:rPr>
        <w:t>项目资金增加。</w:t>
      </w:r>
    </w:p>
    <w:p w14:paraId="42903557">
      <w:pPr>
        <w:keepNext w:val="0"/>
        <w:keepLines w:val="0"/>
        <w:pageBreakBefore w:val="0"/>
        <w:widowControl w:val="0"/>
        <w:wordWrap/>
        <w:topLinePunct w:val="0"/>
        <w:bidi w:val="0"/>
        <w:snapToGrid w:val="0"/>
        <w:spacing w:line="560" w:lineRule="exact"/>
        <w:ind w:firstLine="640" w:firstLineChars="200"/>
        <w:textAlignment w:val="auto"/>
        <w:rPr>
          <w:rFonts w:ascii="仿宋_GB2312" w:eastAsia="仿宋_GB2312"/>
          <w:color w:val="000000"/>
          <w:sz w:val="32"/>
          <w:szCs w:val="32"/>
        </w:rPr>
      </w:pPr>
      <w:r>
        <w:rPr>
          <w:rFonts w:hint="eastAsia" w:ascii="黑体" w:hAnsi="黑体" w:eastAsia="黑体"/>
          <w:color w:val="000000"/>
          <w:sz w:val="32"/>
          <w:szCs w:val="32"/>
        </w:rPr>
        <w:t>五、一般公共预算支出情况说明</w:t>
      </w:r>
      <w:r>
        <w:rPr>
          <w:rFonts w:ascii="黑体" w:hAnsi="黑体" w:eastAsia="黑体"/>
          <w:color w:val="000000"/>
          <w:sz w:val="32"/>
          <w:szCs w:val="32"/>
        </w:rPr>
        <w:t xml:space="preserve">                </w:t>
      </w:r>
    </w:p>
    <w:p w14:paraId="0D1738F8">
      <w:pPr>
        <w:keepNext w:val="0"/>
        <w:keepLines w:val="0"/>
        <w:pageBreakBefore w:val="0"/>
        <w:widowControl w:val="0"/>
        <w:wordWrap/>
        <w:topLinePunct w:val="0"/>
        <w:bidi w:val="0"/>
        <w:snapToGrid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2023</w:t>
      </w:r>
      <w:r>
        <w:rPr>
          <w:rFonts w:hint="eastAsia" w:ascii="仿宋_GB2312" w:hAnsi="宋体" w:eastAsia="仿宋_GB2312" w:cs="Courier New"/>
          <w:color w:val="000000"/>
          <w:sz w:val="32"/>
          <w:szCs w:val="32"/>
        </w:rPr>
        <w:t>年一般公共预算支出年初预算为</w:t>
      </w:r>
      <w:r>
        <w:rPr>
          <w:rFonts w:ascii="仿宋_GB2312" w:eastAsia="仿宋_GB2312"/>
          <w:color w:val="000000"/>
          <w:sz w:val="32"/>
          <w:szCs w:val="32"/>
        </w:rPr>
        <w:t>4391.34</w:t>
      </w:r>
      <w:r>
        <w:rPr>
          <w:rFonts w:hint="eastAsia" w:ascii="仿宋_GB2312" w:hAnsi="宋体" w:eastAsia="仿宋_GB2312" w:cs="Courier New"/>
          <w:color w:val="000000"/>
          <w:sz w:val="32"/>
          <w:szCs w:val="32"/>
        </w:rPr>
        <w:t>万元，其中：基本支出</w:t>
      </w:r>
      <w:r>
        <w:rPr>
          <w:rFonts w:ascii="仿宋_GB2312" w:eastAsia="仿宋_GB2312"/>
          <w:color w:val="000000"/>
          <w:sz w:val="32"/>
          <w:szCs w:val="32"/>
        </w:rPr>
        <w:t>1201.49</w:t>
      </w:r>
      <w:r>
        <w:rPr>
          <w:rFonts w:hint="eastAsia" w:ascii="仿宋_GB2312" w:hAnsi="宋体" w:eastAsia="仿宋_GB2312" w:cs="Courier New"/>
          <w:color w:val="000000"/>
          <w:sz w:val="32"/>
          <w:szCs w:val="32"/>
        </w:rPr>
        <w:t>万元，占</w:t>
      </w:r>
      <w:r>
        <w:rPr>
          <w:rFonts w:ascii="仿宋_GB2312" w:eastAsia="仿宋_GB2312"/>
          <w:color w:val="000000"/>
          <w:sz w:val="32"/>
          <w:szCs w:val="32"/>
        </w:rPr>
        <w:t>27</w:t>
      </w:r>
      <w:r>
        <w:rPr>
          <w:rFonts w:ascii="仿宋_GB2312" w:hAnsi="宋体" w:eastAsia="仿宋_GB2312" w:cs="Courier New"/>
          <w:color w:val="000000"/>
          <w:sz w:val="32"/>
          <w:szCs w:val="32"/>
        </w:rPr>
        <w:t>%</w:t>
      </w:r>
      <w:r>
        <w:rPr>
          <w:rFonts w:hint="eastAsia" w:ascii="仿宋_GB2312" w:hAnsi="宋体" w:eastAsia="仿宋_GB2312" w:cs="Courier New"/>
          <w:color w:val="000000"/>
          <w:sz w:val="32"/>
          <w:szCs w:val="32"/>
        </w:rPr>
        <w:t>；项目支出</w:t>
      </w:r>
      <w:r>
        <w:rPr>
          <w:rFonts w:ascii="仿宋_GB2312" w:eastAsia="仿宋_GB2312"/>
          <w:color w:val="000000"/>
          <w:sz w:val="32"/>
          <w:szCs w:val="32"/>
        </w:rPr>
        <w:t>3189.85</w:t>
      </w:r>
      <w:r>
        <w:rPr>
          <w:rFonts w:hint="eastAsia" w:ascii="仿宋_GB2312" w:hAnsi="宋体" w:eastAsia="仿宋_GB2312" w:cs="Courier New"/>
          <w:color w:val="000000"/>
          <w:sz w:val="32"/>
          <w:szCs w:val="32"/>
        </w:rPr>
        <w:t>万元，占</w:t>
      </w:r>
      <w:r>
        <w:rPr>
          <w:rFonts w:ascii="仿宋_GB2312" w:eastAsia="仿宋_GB2312"/>
          <w:color w:val="000000"/>
          <w:sz w:val="32"/>
          <w:szCs w:val="32"/>
        </w:rPr>
        <w:t>73</w:t>
      </w:r>
      <w:r>
        <w:rPr>
          <w:rFonts w:ascii="仿宋_GB2312" w:hAnsi="宋体" w:eastAsia="仿宋_GB2312" w:cs="Courier New"/>
          <w:color w:val="000000"/>
          <w:sz w:val="32"/>
          <w:szCs w:val="32"/>
        </w:rPr>
        <w:t>%</w:t>
      </w:r>
      <w:r>
        <w:rPr>
          <w:rFonts w:hint="eastAsia" w:ascii="仿宋_GB2312" w:hAnsi="宋体" w:eastAsia="仿宋_GB2312" w:cs="Courier New"/>
          <w:color w:val="000000"/>
          <w:sz w:val="32"/>
          <w:szCs w:val="32"/>
        </w:rPr>
        <w:t>。</w:t>
      </w:r>
    </w:p>
    <w:p w14:paraId="26552CF6">
      <w:pPr>
        <w:keepNext w:val="0"/>
        <w:keepLines w:val="0"/>
        <w:pageBreakBefore w:val="0"/>
        <w:widowControl w:val="0"/>
        <w:wordWrap/>
        <w:topLinePunct w:val="0"/>
        <w:bidi w:val="0"/>
        <w:snapToGrid w:val="0"/>
        <w:spacing w:line="560" w:lineRule="exact"/>
        <w:ind w:firstLine="640" w:firstLineChars="200"/>
        <w:textAlignment w:val="auto"/>
        <w:rPr>
          <w:rFonts w:ascii="仿宋_GB2312" w:eastAsia="仿宋_GB2312"/>
          <w:color w:val="000000"/>
          <w:sz w:val="32"/>
          <w:szCs w:val="32"/>
        </w:rPr>
      </w:pPr>
      <w:r>
        <w:rPr>
          <w:rFonts w:hint="eastAsia" w:ascii="黑体" w:hAnsi="Times New Roman" w:eastAsia="黑体" w:cs="黑体"/>
          <w:color w:val="000000"/>
          <w:kern w:val="0"/>
          <w:sz w:val="32"/>
          <w:szCs w:val="32"/>
        </w:rPr>
        <w:t>六、</w:t>
      </w:r>
      <w:r>
        <w:rPr>
          <w:rFonts w:hint="eastAsia" w:ascii="黑体" w:hAnsi="黑体" w:eastAsia="黑体"/>
          <w:color w:val="000000"/>
          <w:sz w:val="32"/>
          <w:szCs w:val="32"/>
        </w:rPr>
        <w:t>一般公共预算</w:t>
      </w:r>
      <w:r>
        <w:rPr>
          <w:rFonts w:hint="eastAsia" w:ascii="黑体" w:hAnsi="黑体" w:eastAsia="黑体"/>
          <w:color w:val="000000"/>
          <w:sz w:val="32"/>
          <w:szCs w:val="32"/>
          <w:lang w:eastAsia="zh-CN"/>
        </w:rPr>
        <w:t>基本</w:t>
      </w:r>
      <w:r>
        <w:rPr>
          <w:rFonts w:hint="eastAsia" w:ascii="黑体" w:hAnsi="黑体" w:eastAsia="黑体"/>
          <w:color w:val="000000"/>
          <w:sz w:val="32"/>
          <w:szCs w:val="32"/>
        </w:rPr>
        <w:t>支出情况说明</w:t>
      </w:r>
      <w:r>
        <w:rPr>
          <w:rFonts w:ascii="黑体" w:hAnsi="黑体" w:eastAsia="黑体"/>
          <w:color w:val="000000"/>
          <w:sz w:val="32"/>
          <w:szCs w:val="32"/>
        </w:rPr>
        <w:t xml:space="preserve">                  </w:t>
      </w:r>
    </w:p>
    <w:p w14:paraId="440A1126">
      <w:pPr>
        <w:keepNext w:val="0"/>
        <w:keepLines w:val="0"/>
        <w:pageBreakBefore w:val="0"/>
        <w:widowControl w:val="0"/>
        <w:wordWrap/>
        <w:topLinePunct w:val="0"/>
        <w:bidi w:val="0"/>
        <w:snapToGrid w:val="0"/>
        <w:spacing w:line="560" w:lineRule="exact"/>
        <w:ind w:firstLine="640" w:firstLineChars="200"/>
        <w:textAlignment w:val="auto"/>
        <w:rPr>
          <w:rFonts w:ascii="仿宋_GB2312" w:hAnsi="宋体" w:eastAsia="仿宋_GB2312" w:cs="Courier New"/>
          <w:color w:val="000000"/>
          <w:sz w:val="32"/>
          <w:szCs w:val="32"/>
        </w:rPr>
      </w:pPr>
      <w:r>
        <w:rPr>
          <w:rFonts w:hint="eastAsia" w:ascii="仿宋_GB2312" w:eastAsia="仿宋_GB2312"/>
          <w:color w:val="000000"/>
          <w:sz w:val="32"/>
          <w:szCs w:val="32"/>
        </w:rPr>
        <w:t>2023</w:t>
      </w:r>
      <w:r>
        <w:rPr>
          <w:rFonts w:hint="eastAsia" w:ascii="仿宋_GB2312" w:hAnsi="宋体" w:eastAsia="仿宋_GB2312" w:cs="Courier New"/>
          <w:color w:val="000000"/>
          <w:sz w:val="32"/>
          <w:szCs w:val="32"/>
        </w:rPr>
        <w:t>年一般公共预算基本支出年初预算为</w:t>
      </w:r>
      <w:r>
        <w:rPr>
          <w:rFonts w:ascii="仿宋_GB2312" w:eastAsia="仿宋_GB2312"/>
          <w:color w:val="000000"/>
          <w:sz w:val="32"/>
          <w:szCs w:val="32"/>
        </w:rPr>
        <w:t>1201.49</w:t>
      </w:r>
      <w:r>
        <w:rPr>
          <w:rFonts w:hint="eastAsia" w:ascii="仿宋_GB2312" w:hAnsi="宋体" w:eastAsia="仿宋_GB2312" w:cs="Courier New"/>
          <w:color w:val="000000"/>
          <w:sz w:val="32"/>
          <w:szCs w:val="32"/>
        </w:rPr>
        <w:t>万元，其中：人员经费</w:t>
      </w:r>
      <w:r>
        <w:rPr>
          <w:rFonts w:ascii="仿宋_GB2312" w:eastAsia="仿宋_GB2312"/>
          <w:color w:val="000000"/>
          <w:sz w:val="32"/>
          <w:szCs w:val="32"/>
        </w:rPr>
        <w:t>1177.79</w:t>
      </w:r>
      <w:r>
        <w:rPr>
          <w:rFonts w:hint="eastAsia" w:ascii="仿宋_GB2312" w:hAnsi="宋体" w:eastAsia="仿宋_GB2312" w:cs="Courier New"/>
          <w:color w:val="000000"/>
          <w:sz w:val="32"/>
          <w:szCs w:val="32"/>
        </w:rPr>
        <w:t>万元，占</w:t>
      </w:r>
      <w:r>
        <w:rPr>
          <w:rFonts w:hint="eastAsia" w:ascii="仿宋_GB2312" w:eastAsia="仿宋_GB2312"/>
          <w:color w:val="000000"/>
          <w:sz w:val="32"/>
          <w:szCs w:val="32"/>
        </w:rPr>
        <w:t>9</w:t>
      </w:r>
      <w:r>
        <w:rPr>
          <w:rFonts w:ascii="仿宋_GB2312" w:eastAsia="仿宋_GB2312"/>
          <w:color w:val="000000"/>
          <w:sz w:val="32"/>
          <w:szCs w:val="32"/>
        </w:rPr>
        <w:t>8</w:t>
      </w:r>
      <w:r>
        <w:rPr>
          <w:rFonts w:ascii="仿宋_GB2312" w:hAnsi="宋体" w:eastAsia="仿宋_GB2312" w:cs="Courier New"/>
          <w:color w:val="000000"/>
          <w:sz w:val="32"/>
          <w:szCs w:val="32"/>
        </w:rPr>
        <w:t>%</w:t>
      </w:r>
      <w:r>
        <w:rPr>
          <w:rFonts w:hint="eastAsia" w:ascii="仿宋_GB2312" w:hAnsi="宋体" w:eastAsia="仿宋_GB2312" w:cs="Courier New"/>
          <w:color w:val="000000"/>
          <w:sz w:val="32"/>
          <w:szCs w:val="32"/>
        </w:rPr>
        <w:t>；公用经费</w:t>
      </w:r>
      <w:r>
        <w:rPr>
          <w:rFonts w:ascii="仿宋_GB2312" w:eastAsia="仿宋_GB2312"/>
          <w:color w:val="000000"/>
          <w:sz w:val="32"/>
          <w:szCs w:val="32"/>
        </w:rPr>
        <w:t>23.7</w:t>
      </w:r>
      <w:r>
        <w:rPr>
          <w:rFonts w:hint="eastAsia" w:ascii="仿宋_GB2312" w:hAnsi="宋体" w:eastAsia="仿宋_GB2312" w:cs="Courier New"/>
          <w:color w:val="000000"/>
          <w:sz w:val="32"/>
          <w:szCs w:val="32"/>
        </w:rPr>
        <w:t>万元，占</w:t>
      </w:r>
      <w:r>
        <w:rPr>
          <w:rFonts w:ascii="仿宋_GB2312" w:eastAsia="仿宋_GB2312"/>
          <w:color w:val="000000"/>
          <w:sz w:val="32"/>
          <w:szCs w:val="32"/>
        </w:rPr>
        <w:t>2</w:t>
      </w:r>
      <w:r>
        <w:rPr>
          <w:rFonts w:ascii="仿宋_GB2312" w:hAnsi="宋体" w:eastAsia="仿宋_GB2312" w:cs="Courier New"/>
          <w:color w:val="000000"/>
          <w:sz w:val="32"/>
          <w:szCs w:val="32"/>
        </w:rPr>
        <w:t>%</w:t>
      </w:r>
      <w:r>
        <w:rPr>
          <w:rFonts w:hint="eastAsia" w:ascii="仿宋_GB2312" w:hAnsi="宋体" w:eastAsia="仿宋_GB2312" w:cs="Courier New"/>
          <w:color w:val="000000"/>
          <w:sz w:val="32"/>
          <w:szCs w:val="32"/>
        </w:rPr>
        <w:t>。</w:t>
      </w:r>
    </w:p>
    <w:p w14:paraId="6AFDE31E">
      <w:pPr>
        <w:keepNext w:val="0"/>
        <w:keepLines w:val="0"/>
        <w:pageBreakBefore w:val="0"/>
        <w:widowControl w:val="0"/>
        <w:numPr>
          <w:ilvl w:val="0"/>
          <w:numId w:val="5"/>
        </w:numPr>
        <w:wordWrap/>
        <w:topLinePunct w:val="0"/>
        <w:bidi w:val="0"/>
        <w:snapToGrid w:val="0"/>
        <w:spacing w:line="560" w:lineRule="exact"/>
        <w:ind w:firstLine="640" w:firstLineChars="200"/>
        <w:textAlignment w:val="auto"/>
        <w:rPr>
          <w:rFonts w:hint="eastAsia" w:ascii="黑体" w:hAnsi="Times New Roman" w:eastAsia="黑体" w:cs="黑体"/>
          <w:color w:val="000000"/>
          <w:kern w:val="0"/>
          <w:sz w:val="32"/>
          <w:szCs w:val="32"/>
        </w:rPr>
      </w:pPr>
      <w:r>
        <w:rPr>
          <w:rFonts w:hint="eastAsia" w:ascii="黑体" w:hAnsi="Times New Roman" w:eastAsia="黑体" w:cs="黑体"/>
          <w:color w:val="000000"/>
          <w:kern w:val="0"/>
          <w:sz w:val="32"/>
          <w:szCs w:val="32"/>
        </w:rPr>
        <w:t>一般公共预算“三公”经费支出情况说明</w:t>
      </w:r>
    </w:p>
    <w:p w14:paraId="738A84E5">
      <w:pPr>
        <w:keepNext w:val="0"/>
        <w:keepLines w:val="0"/>
        <w:pageBreakBefore w:val="0"/>
        <w:widowControl w:val="0"/>
        <w:numPr>
          <w:ilvl w:val="0"/>
          <w:numId w:val="0"/>
        </w:numPr>
        <w:wordWrap/>
        <w:topLinePunct w:val="0"/>
        <w:bidi w:val="0"/>
        <w:snapToGrid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我部门2023</w:t>
      </w:r>
      <w:r>
        <w:rPr>
          <w:rFonts w:hint="eastAsia" w:ascii="仿宋_GB2312" w:hAnsi="宋体" w:eastAsia="仿宋_GB2312" w:cs="Courier New"/>
          <w:color w:val="000000"/>
          <w:sz w:val="32"/>
          <w:szCs w:val="32"/>
        </w:rPr>
        <w:t>年“三公”经费预算为</w:t>
      </w:r>
      <w:r>
        <w:rPr>
          <w:rFonts w:hint="eastAsia" w:ascii="仿宋_GB2312" w:eastAsia="仿宋_GB2312"/>
          <w:b/>
          <w:color w:val="000000"/>
          <w:sz w:val="32"/>
          <w:szCs w:val="32"/>
        </w:rPr>
        <w:t>1.8</w:t>
      </w:r>
      <w:r>
        <w:rPr>
          <w:rFonts w:hint="eastAsia" w:ascii="仿宋_GB2312" w:hAnsi="宋体" w:eastAsia="仿宋_GB2312" w:cs="Courier New"/>
          <w:color w:val="000000"/>
          <w:sz w:val="32"/>
          <w:szCs w:val="32"/>
        </w:rPr>
        <w:t>万元。</w:t>
      </w:r>
      <w:r>
        <w:rPr>
          <w:rFonts w:ascii="仿宋_GB2312" w:hAnsi="宋体" w:eastAsia="仿宋_GB2312" w:cs="Courier New"/>
          <w:color w:val="000000"/>
          <w:sz w:val="32"/>
          <w:szCs w:val="32"/>
        </w:rPr>
        <w:t>20</w:t>
      </w:r>
      <w:r>
        <w:rPr>
          <w:rFonts w:hint="eastAsia" w:ascii="仿宋_GB2312" w:hAnsi="宋体" w:eastAsia="仿宋_GB2312" w:cs="Courier New"/>
          <w:color w:val="000000"/>
          <w:sz w:val="32"/>
          <w:szCs w:val="32"/>
        </w:rPr>
        <w:t>23年“三公”经费支出预算数比</w:t>
      </w:r>
      <w:r>
        <w:rPr>
          <w:rFonts w:ascii="仿宋_GB2312" w:hAnsi="宋体" w:eastAsia="仿宋_GB2312" w:cs="Courier New"/>
          <w:color w:val="000000"/>
          <w:sz w:val="32"/>
          <w:szCs w:val="32"/>
        </w:rPr>
        <w:t xml:space="preserve"> 20</w:t>
      </w:r>
      <w:r>
        <w:rPr>
          <w:rFonts w:hint="eastAsia" w:ascii="仿宋_GB2312" w:hAnsi="宋体" w:eastAsia="仿宋_GB2312" w:cs="Courier New"/>
          <w:color w:val="000000"/>
          <w:sz w:val="32"/>
          <w:szCs w:val="32"/>
        </w:rPr>
        <w:t>22年减少</w:t>
      </w:r>
      <w:r>
        <w:rPr>
          <w:rFonts w:ascii="仿宋_GB2312" w:eastAsia="仿宋_GB2312"/>
          <w:b/>
          <w:color w:val="000000"/>
          <w:sz w:val="32"/>
          <w:szCs w:val="32"/>
        </w:rPr>
        <w:t>0</w:t>
      </w:r>
      <w:r>
        <w:rPr>
          <w:rFonts w:hint="eastAsia" w:ascii="仿宋_GB2312" w:hAnsi="宋体" w:eastAsia="仿宋_GB2312" w:cs="Courier New"/>
          <w:color w:val="000000"/>
          <w:sz w:val="32"/>
          <w:szCs w:val="32"/>
        </w:rPr>
        <w:t>万元。</w:t>
      </w:r>
    </w:p>
    <w:p w14:paraId="71D76B1C">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ascii="仿宋_GB2312" w:hAnsi="宋体" w:eastAsia="仿宋_GB2312" w:cs="Courier New"/>
          <w:color w:val="000000"/>
          <w:sz w:val="32"/>
          <w:szCs w:val="32"/>
        </w:rPr>
      </w:pPr>
      <w:r>
        <w:rPr>
          <w:rFonts w:hint="eastAsia" w:ascii="仿宋_GB2312" w:hAnsi="宋体" w:eastAsia="仿宋_GB2312" w:cs="Courier New"/>
          <w:color w:val="000000"/>
          <w:sz w:val="32"/>
          <w:szCs w:val="32"/>
        </w:rPr>
        <w:t>具体支出情况如下：</w:t>
      </w:r>
    </w:p>
    <w:p w14:paraId="566C159B">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39" w:firstLineChars="200"/>
        <w:textAlignment w:val="auto"/>
        <w:rPr>
          <w:rFonts w:ascii="仿宋_GB2312" w:hAnsi="宋体" w:eastAsia="仿宋_GB2312" w:cs="Courier New"/>
          <w:color w:val="000000"/>
          <w:sz w:val="32"/>
          <w:szCs w:val="32"/>
        </w:rPr>
      </w:pPr>
      <w:r>
        <w:rPr>
          <w:rFonts w:hint="eastAsia" w:ascii="仿宋_GB2312" w:hAnsi="Times New Roman" w:eastAsia="仿宋_GB2312" w:cs="仿宋_GB2312"/>
          <w:b/>
          <w:color w:val="000000"/>
          <w:spacing w:val="-1"/>
          <w:kern w:val="0"/>
          <w:sz w:val="32"/>
          <w:szCs w:val="32"/>
        </w:rPr>
        <w:t>（一）因公出国（境）费</w:t>
      </w:r>
      <w:r>
        <w:rPr>
          <w:rFonts w:hint="eastAsia" w:ascii="仿宋_GB2312" w:eastAsia="仿宋_GB2312"/>
          <w:b/>
          <w:color w:val="000000"/>
          <w:sz w:val="32"/>
          <w:szCs w:val="32"/>
        </w:rPr>
        <w:t>0</w:t>
      </w:r>
      <w:r>
        <w:rPr>
          <w:rFonts w:hint="eastAsia" w:ascii="仿宋_GB2312" w:hAnsi="Times New Roman" w:eastAsia="仿宋_GB2312" w:cs="仿宋_GB2312"/>
          <w:color w:val="000000"/>
          <w:spacing w:val="-1"/>
          <w:kern w:val="0"/>
          <w:sz w:val="32"/>
          <w:szCs w:val="32"/>
        </w:rPr>
        <w:t>万元，</w:t>
      </w:r>
      <w:r>
        <w:rPr>
          <w:rFonts w:hint="eastAsia" w:ascii="仿宋_GB2312" w:hAnsi="宋体" w:eastAsia="仿宋_GB2312" w:cs="Courier New"/>
          <w:color w:val="000000"/>
          <w:sz w:val="32"/>
          <w:szCs w:val="32"/>
        </w:rPr>
        <w:t>主要用于单位工作人员公务出国（境）的住宿费、旅费、伙食补助费、杂费、培训费等支出。因公出国（境）费预算数与</w:t>
      </w:r>
      <w:r>
        <w:rPr>
          <w:rFonts w:ascii="仿宋_GB2312" w:hAnsi="宋体" w:eastAsia="仿宋_GB2312" w:cs="Courier New"/>
          <w:color w:val="000000"/>
          <w:sz w:val="32"/>
          <w:szCs w:val="32"/>
        </w:rPr>
        <w:t>20</w:t>
      </w:r>
      <w:r>
        <w:rPr>
          <w:rFonts w:hint="eastAsia" w:ascii="仿宋_GB2312" w:hAnsi="宋体" w:eastAsia="仿宋_GB2312" w:cs="Courier New"/>
          <w:color w:val="000000"/>
          <w:sz w:val="32"/>
          <w:szCs w:val="32"/>
        </w:rPr>
        <w:t>2</w:t>
      </w:r>
      <w:r>
        <w:rPr>
          <w:rFonts w:ascii="仿宋_GB2312" w:hAnsi="宋体" w:eastAsia="仿宋_GB2312" w:cs="Courier New"/>
          <w:color w:val="000000"/>
          <w:sz w:val="32"/>
          <w:szCs w:val="32"/>
        </w:rPr>
        <w:t>2</w:t>
      </w:r>
      <w:r>
        <w:rPr>
          <w:rFonts w:hint="eastAsia" w:ascii="仿宋_GB2312" w:hAnsi="宋体" w:eastAsia="仿宋_GB2312" w:cs="Courier New"/>
          <w:color w:val="000000"/>
          <w:sz w:val="32"/>
          <w:szCs w:val="32"/>
        </w:rPr>
        <w:t>年相比增加0万元。与上年持平。</w:t>
      </w:r>
    </w:p>
    <w:p w14:paraId="0B500796">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39" w:firstLineChars="200"/>
        <w:textAlignment w:val="auto"/>
        <w:rPr>
          <w:rFonts w:ascii="仿宋_GB2312" w:hAnsi="宋体" w:eastAsia="仿宋_GB2312" w:cs="Courier New"/>
          <w:color w:val="000000"/>
          <w:sz w:val="32"/>
          <w:szCs w:val="32"/>
          <w:highlight w:val="none"/>
        </w:rPr>
      </w:pPr>
      <w:r>
        <w:rPr>
          <w:rFonts w:hint="eastAsia" w:ascii="仿宋_GB2312" w:hAnsi="Times New Roman" w:eastAsia="仿宋_GB2312" w:cs="仿宋_GB2312"/>
          <w:b/>
          <w:color w:val="000000"/>
          <w:spacing w:val="-1"/>
          <w:kern w:val="0"/>
          <w:sz w:val="32"/>
          <w:szCs w:val="32"/>
        </w:rPr>
        <w:t>（二）公务用车购置及运行费1.8</w:t>
      </w:r>
      <w:r>
        <w:rPr>
          <w:rFonts w:hint="eastAsia" w:ascii="仿宋_GB2312" w:hAnsi="Times New Roman" w:eastAsia="仿宋_GB2312" w:cs="仿宋_GB2312"/>
          <w:color w:val="000000"/>
          <w:kern w:val="0"/>
          <w:sz w:val="32"/>
          <w:szCs w:val="32"/>
        </w:rPr>
        <w:t>万</w:t>
      </w:r>
      <w:r>
        <w:rPr>
          <w:rFonts w:hint="eastAsia" w:ascii="仿宋_GB2312" w:hAnsi="宋体" w:eastAsia="仿宋_GB2312" w:cs="Courier New"/>
          <w:color w:val="000000"/>
          <w:sz w:val="32"/>
          <w:szCs w:val="32"/>
        </w:rPr>
        <w:t>元，其中，公务用车购置费</w:t>
      </w:r>
      <w:r>
        <w:rPr>
          <w:rFonts w:hint="eastAsia" w:ascii="仿宋_GB2312" w:eastAsia="仿宋_GB2312"/>
          <w:color w:val="000000"/>
          <w:sz w:val="32"/>
          <w:szCs w:val="32"/>
        </w:rPr>
        <w:t>0</w:t>
      </w:r>
      <w:r>
        <w:rPr>
          <w:rFonts w:hint="eastAsia" w:ascii="仿宋_GB2312" w:hAnsi="宋体" w:eastAsia="仿宋_GB2312" w:cs="Courier New"/>
          <w:color w:val="000000"/>
          <w:sz w:val="32"/>
          <w:szCs w:val="32"/>
        </w:rPr>
        <w:t>万元；公务用车运行维护费</w:t>
      </w:r>
      <w:r>
        <w:rPr>
          <w:rFonts w:hint="eastAsia" w:ascii="仿宋_GB2312" w:eastAsia="仿宋_GB2312"/>
          <w:color w:val="000000"/>
          <w:sz w:val="32"/>
          <w:szCs w:val="32"/>
        </w:rPr>
        <w:t>1.8</w:t>
      </w:r>
      <w:r>
        <w:rPr>
          <w:rFonts w:hint="eastAsia" w:ascii="仿宋_GB2312" w:hAnsi="宋体" w:eastAsia="仿宋_GB2312" w:cs="Courier New"/>
          <w:color w:val="000000"/>
          <w:sz w:val="32"/>
          <w:szCs w:val="32"/>
        </w:rPr>
        <w:t>万</w:t>
      </w:r>
      <w:r>
        <w:rPr>
          <w:rFonts w:hint="eastAsia" w:ascii="仿宋_GB2312" w:hAnsi="宋体" w:eastAsia="仿宋_GB2312" w:cs="Courier New"/>
          <w:color w:val="000000"/>
          <w:sz w:val="32"/>
          <w:szCs w:val="32"/>
          <w:highlight w:val="none"/>
        </w:rPr>
        <w:t>元，主要用于开展工作所需公务用车的燃料费、维修费、过路桥费、保险费、安全奖励费用等支出。公务用车</w:t>
      </w:r>
      <w:r>
        <w:rPr>
          <w:rFonts w:hint="eastAsia" w:ascii="仿宋_GB2312" w:hAnsi="宋体" w:eastAsia="仿宋_GB2312" w:cs="Courier New"/>
          <w:color w:val="000000"/>
          <w:sz w:val="32"/>
          <w:szCs w:val="32"/>
          <w:highlight w:val="none"/>
          <w:lang w:eastAsia="zh-CN"/>
        </w:rPr>
        <w:t>购置</w:t>
      </w:r>
      <w:r>
        <w:rPr>
          <w:rFonts w:hint="eastAsia" w:ascii="仿宋_GB2312" w:hAnsi="宋体" w:eastAsia="仿宋_GB2312" w:cs="Courier New"/>
          <w:color w:val="000000"/>
          <w:sz w:val="32"/>
          <w:szCs w:val="32"/>
          <w:highlight w:val="none"/>
        </w:rPr>
        <w:t>费预算数</w:t>
      </w:r>
      <w:r>
        <w:rPr>
          <w:rFonts w:hint="eastAsia" w:ascii="仿宋_GB2312" w:hAnsi="宋体" w:eastAsia="仿宋_GB2312" w:cs="Courier New"/>
          <w:color w:val="000000"/>
          <w:sz w:val="32"/>
          <w:szCs w:val="32"/>
          <w:highlight w:val="none"/>
          <w:lang w:eastAsia="zh-CN"/>
        </w:rPr>
        <w:t>与</w:t>
      </w:r>
      <w:r>
        <w:rPr>
          <w:rFonts w:ascii="仿宋_GB2312" w:hAnsi="宋体" w:eastAsia="仿宋_GB2312" w:cs="Courier New"/>
          <w:color w:val="000000"/>
          <w:sz w:val="32"/>
          <w:szCs w:val="32"/>
          <w:highlight w:val="none"/>
        </w:rPr>
        <w:t>20</w:t>
      </w:r>
      <w:r>
        <w:rPr>
          <w:rFonts w:hint="eastAsia" w:ascii="仿宋_GB2312" w:hAnsi="宋体" w:eastAsia="仿宋_GB2312" w:cs="Courier New"/>
          <w:color w:val="000000"/>
          <w:sz w:val="32"/>
          <w:szCs w:val="32"/>
          <w:highlight w:val="none"/>
        </w:rPr>
        <w:t>22年</w:t>
      </w:r>
      <w:bookmarkStart w:id="0" w:name="OLE_LINK1"/>
      <w:r>
        <w:rPr>
          <w:rFonts w:hint="eastAsia" w:ascii="仿宋_GB2312" w:hAnsi="宋体" w:eastAsia="仿宋_GB2312" w:cs="Courier New"/>
          <w:color w:val="000000"/>
          <w:sz w:val="32"/>
          <w:szCs w:val="32"/>
          <w:highlight w:val="none"/>
          <w:lang w:eastAsia="zh-CN"/>
        </w:rPr>
        <w:t>相比</w:t>
      </w:r>
      <w:r>
        <w:rPr>
          <w:rFonts w:ascii="仿宋_GB2312" w:hAnsi="宋体" w:eastAsia="仿宋_GB2312" w:cs="Courier New"/>
          <w:color w:val="000000"/>
          <w:sz w:val="32"/>
          <w:szCs w:val="32"/>
          <w:highlight w:val="none"/>
        </w:rPr>
        <w:t>增加0</w:t>
      </w:r>
      <w:r>
        <w:rPr>
          <w:rFonts w:hint="eastAsia" w:ascii="仿宋_GB2312" w:hAnsi="宋体" w:eastAsia="仿宋_GB2312" w:cs="Courier New"/>
          <w:color w:val="000000"/>
          <w:sz w:val="32"/>
          <w:szCs w:val="32"/>
          <w:highlight w:val="none"/>
        </w:rPr>
        <w:t>万元</w:t>
      </w:r>
      <w:bookmarkEnd w:id="0"/>
      <w:r>
        <w:rPr>
          <w:rFonts w:hint="eastAsia" w:ascii="仿宋_GB2312" w:hAnsi="宋体" w:eastAsia="仿宋_GB2312" w:cs="Courier New"/>
          <w:color w:val="000000"/>
          <w:sz w:val="32"/>
          <w:szCs w:val="32"/>
          <w:highlight w:val="none"/>
          <w:lang w:eastAsia="zh-CN"/>
        </w:rPr>
        <w:t>。</w:t>
      </w:r>
      <w:r>
        <w:rPr>
          <w:rFonts w:hint="eastAsia" w:ascii="仿宋_GB2312" w:hAnsi="宋体" w:eastAsia="仿宋_GB2312" w:cs="Courier New"/>
          <w:color w:val="000000"/>
          <w:sz w:val="32"/>
          <w:szCs w:val="32"/>
          <w:highlight w:val="none"/>
        </w:rPr>
        <w:t>与上年持平。</w:t>
      </w:r>
    </w:p>
    <w:p w14:paraId="17EBB5BD">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39" w:firstLineChars="200"/>
        <w:textAlignment w:val="auto"/>
        <w:rPr>
          <w:rFonts w:ascii="仿宋_GB2312" w:hAnsi="宋体" w:eastAsia="仿宋_GB2312" w:cs="Courier New"/>
          <w:color w:val="000000"/>
          <w:sz w:val="32"/>
          <w:szCs w:val="32"/>
        </w:rPr>
      </w:pPr>
      <w:r>
        <w:rPr>
          <w:rFonts w:hint="eastAsia" w:ascii="仿宋_GB2312" w:hAnsi="Times New Roman" w:eastAsia="仿宋_GB2312" w:cs="仿宋_GB2312"/>
          <w:b/>
          <w:color w:val="000000"/>
          <w:spacing w:val="-1"/>
          <w:kern w:val="0"/>
          <w:sz w:val="32"/>
          <w:szCs w:val="32"/>
        </w:rPr>
        <w:t>（三）公务接待费</w:t>
      </w:r>
      <w:r>
        <w:rPr>
          <w:rFonts w:hint="eastAsia" w:ascii="仿宋_GB2312" w:eastAsia="仿宋_GB2312"/>
          <w:b/>
          <w:color w:val="000000"/>
          <w:sz w:val="32"/>
          <w:szCs w:val="32"/>
        </w:rPr>
        <w:t>0</w:t>
      </w:r>
      <w:r>
        <w:rPr>
          <w:rFonts w:hint="eastAsia" w:ascii="仿宋_GB2312" w:hAnsi="宋体" w:eastAsia="仿宋_GB2312" w:cs="Courier New"/>
          <w:color w:val="000000"/>
          <w:sz w:val="32"/>
          <w:szCs w:val="32"/>
        </w:rPr>
        <w:t>万元，主要用于按规定开支的各类公务接待（含外宾接待）支出。公务接待费预算数与</w:t>
      </w:r>
      <w:r>
        <w:rPr>
          <w:rFonts w:ascii="仿宋_GB2312" w:hAnsi="宋体" w:eastAsia="仿宋_GB2312" w:cs="Courier New"/>
          <w:color w:val="000000"/>
          <w:sz w:val="32"/>
          <w:szCs w:val="32"/>
        </w:rPr>
        <w:t>20</w:t>
      </w:r>
      <w:r>
        <w:rPr>
          <w:rFonts w:hint="eastAsia" w:ascii="仿宋_GB2312" w:hAnsi="宋体" w:eastAsia="仿宋_GB2312" w:cs="Courier New"/>
          <w:color w:val="000000"/>
          <w:sz w:val="32"/>
          <w:szCs w:val="32"/>
        </w:rPr>
        <w:t>2</w:t>
      </w:r>
      <w:r>
        <w:rPr>
          <w:rFonts w:ascii="仿宋_GB2312" w:hAnsi="宋体" w:eastAsia="仿宋_GB2312" w:cs="Courier New"/>
          <w:color w:val="000000"/>
          <w:sz w:val="32"/>
          <w:szCs w:val="32"/>
        </w:rPr>
        <w:t>2</w:t>
      </w:r>
      <w:r>
        <w:rPr>
          <w:rFonts w:hint="eastAsia" w:ascii="仿宋_GB2312" w:hAnsi="宋体" w:eastAsia="仿宋_GB2312" w:cs="Courier New"/>
          <w:color w:val="000000"/>
          <w:sz w:val="32"/>
          <w:szCs w:val="32"/>
        </w:rPr>
        <w:t>年相</w:t>
      </w:r>
      <w:r>
        <w:rPr>
          <w:rFonts w:ascii="仿宋_GB2312" w:hAnsi="宋体" w:eastAsia="仿宋_GB2312" w:cs="Courier New"/>
          <w:color w:val="000000"/>
          <w:sz w:val="32"/>
          <w:szCs w:val="32"/>
        </w:rPr>
        <w:t>比</w:t>
      </w:r>
      <w:r>
        <w:rPr>
          <w:rFonts w:hint="eastAsia" w:ascii="仿宋_GB2312" w:hAnsi="宋体" w:eastAsia="仿宋_GB2312" w:cs="Courier New"/>
          <w:color w:val="000000"/>
          <w:sz w:val="32"/>
          <w:szCs w:val="32"/>
        </w:rPr>
        <w:t>增加0万元。与上年持平</w:t>
      </w:r>
      <w:r>
        <w:rPr>
          <w:rFonts w:ascii="仿宋_GB2312" w:hAnsi="宋体" w:eastAsia="仿宋_GB2312" w:cs="Courier New"/>
          <w:color w:val="000000"/>
          <w:sz w:val="32"/>
          <w:szCs w:val="32"/>
        </w:rPr>
        <w:t>。</w:t>
      </w:r>
    </w:p>
    <w:p w14:paraId="79C8A87F">
      <w:pPr>
        <w:keepNext w:val="0"/>
        <w:keepLines w:val="0"/>
        <w:pageBreakBefore w:val="0"/>
        <w:widowControl w:val="0"/>
        <w:wordWrap/>
        <w:topLinePunct w:val="0"/>
        <w:bidi w:val="0"/>
        <w:snapToGrid w:val="0"/>
        <w:spacing w:line="560" w:lineRule="exact"/>
        <w:ind w:firstLine="640" w:firstLineChars="200"/>
        <w:textAlignment w:val="auto"/>
        <w:rPr>
          <w:rFonts w:ascii="仿宋_GB2312" w:eastAsia="仿宋_GB2312"/>
          <w:color w:val="000000"/>
          <w:sz w:val="32"/>
          <w:szCs w:val="32"/>
        </w:rPr>
      </w:pPr>
      <w:r>
        <w:rPr>
          <w:rFonts w:hint="eastAsia" w:ascii="黑体" w:hAnsi="Times New Roman" w:eastAsia="黑体" w:cs="黑体"/>
          <w:color w:val="000000"/>
          <w:kern w:val="0"/>
          <w:sz w:val="32"/>
          <w:szCs w:val="32"/>
        </w:rPr>
        <w:t>八、政府性基金预算支出情况说明</w:t>
      </w:r>
    </w:p>
    <w:p w14:paraId="79483E47">
      <w:pPr>
        <w:keepNext w:val="0"/>
        <w:keepLines w:val="0"/>
        <w:pageBreakBefore w:val="0"/>
        <w:widowControl w:val="0"/>
        <w:wordWrap/>
        <w:topLinePunct w:val="0"/>
        <w:bidi w:val="0"/>
        <w:snapToGrid w:val="0"/>
        <w:spacing w:line="560" w:lineRule="exact"/>
        <w:ind w:firstLine="640" w:firstLineChars="200"/>
        <w:textAlignment w:val="auto"/>
        <w:rPr>
          <w:rFonts w:ascii="仿宋_GB2312" w:eastAsia="仿宋_GB2312"/>
          <w:bCs/>
          <w:color w:val="000000"/>
          <w:sz w:val="32"/>
          <w:szCs w:val="32"/>
          <w:highlight w:val="none"/>
        </w:rPr>
      </w:pPr>
      <w:r>
        <w:rPr>
          <w:rFonts w:hint="eastAsia" w:ascii="仿宋_GB2312" w:eastAsia="仿宋_GB2312"/>
          <w:bCs/>
          <w:color w:val="000000"/>
          <w:sz w:val="32"/>
          <w:szCs w:val="32"/>
        </w:rPr>
        <w:t>我部门2023年政府性基金预算安排支出</w:t>
      </w:r>
      <w:r>
        <w:rPr>
          <w:rFonts w:ascii="仿宋_GB2312" w:eastAsia="仿宋_GB2312"/>
          <w:bCs/>
          <w:color w:val="000000"/>
          <w:sz w:val="32"/>
          <w:szCs w:val="32"/>
        </w:rPr>
        <w:t>1553.94</w:t>
      </w:r>
      <w:r>
        <w:rPr>
          <w:rFonts w:hint="eastAsia" w:ascii="仿宋_GB2312" w:eastAsia="仿宋_GB2312"/>
          <w:bCs/>
          <w:color w:val="000000"/>
          <w:sz w:val="32"/>
          <w:szCs w:val="32"/>
        </w:rPr>
        <w:t>万元，</w:t>
      </w:r>
      <w:r>
        <w:rPr>
          <w:rFonts w:hint="eastAsia" w:ascii="仿宋_GB2312" w:hAnsi="宋体" w:eastAsia="仿宋_GB2312" w:cs="Courier New"/>
          <w:bCs/>
          <w:color w:val="000000"/>
          <w:sz w:val="32"/>
          <w:szCs w:val="32"/>
        </w:rPr>
        <w:t>其中：基本支</w:t>
      </w:r>
      <w:r>
        <w:rPr>
          <w:rFonts w:hint="eastAsia" w:ascii="仿宋_GB2312" w:hAnsi="宋体" w:eastAsia="仿宋_GB2312" w:cs="Courier New"/>
          <w:bCs/>
          <w:color w:val="000000"/>
          <w:sz w:val="32"/>
          <w:szCs w:val="32"/>
          <w:highlight w:val="none"/>
        </w:rPr>
        <w:t>出</w:t>
      </w:r>
      <w:r>
        <w:rPr>
          <w:rFonts w:hint="eastAsia" w:ascii="仿宋_GB2312" w:eastAsia="仿宋_GB2312"/>
          <w:bCs/>
          <w:color w:val="000000"/>
          <w:sz w:val="32"/>
          <w:szCs w:val="32"/>
          <w:highlight w:val="none"/>
        </w:rPr>
        <w:t>0</w:t>
      </w:r>
      <w:r>
        <w:rPr>
          <w:rFonts w:hint="eastAsia" w:ascii="仿宋_GB2312" w:hAnsi="宋体" w:eastAsia="仿宋_GB2312" w:cs="Courier New"/>
          <w:bCs/>
          <w:color w:val="000000"/>
          <w:sz w:val="32"/>
          <w:szCs w:val="32"/>
          <w:highlight w:val="none"/>
        </w:rPr>
        <w:t>万元，占</w:t>
      </w:r>
      <w:r>
        <w:rPr>
          <w:rFonts w:hint="eastAsia" w:ascii="仿宋_GB2312" w:eastAsia="仿宋_GB2312"/>
          <w:bCs/>
          <w:color w:val="000000"/>
          <w:sz w:val="32"/>
          <w:szCs w:val="32"/>
          <w:highlight w:val="none"/>
        </w:rPr>
        <w:t>0</w:t>
      </w:r>
      <w:r>
        <w:rPr>
          <w:rFonts w:ascii="仿宋_GB2312" w:hAnsi="宋体" w:eastAsia="仿宋_GB2312" w:cs="Courier New"/>
          <w:bCs/>
          <w:color w:val="000000"/>
          <w:sz w:val="32"/>
          <w:szCs w:val="32"/>
          <w:highlight w:val="none"/>
        </w:rPr>
        <w:t>%</w:t>
      </w:r>
      <w:r>
        <w:rPr>
          <w:rFonts w:hint="eastAsia" w:ascii="仿宋_GB2312" w:hAnsi="宋体" w:eastAsia="仿宋_GB2312" w:cs="Courier New"/>
          <w:bCs/>
          <w:color w:val="000000"/>
          <w:sz w:val="32"/>
          <w:szCs w:val="32"/>
          <w:highlight w:val="none"/>
        </w:rPr>
        <w:t>；项目支出</w:t>
      </w:r>
      <w:r>
        <w:rPr>
          <w:rFonts w:ascii="仿宋_GB2312" w:eastAsia="仿宋_GB2312"/>
          <w:bCs/>
          <w:color w:val="000000"/>
          <w:sz w:val="32"/>
          <w:szCs w:val="32"/>
          <w:highlight w:val="none"/>
        </w:rPr>
        <w:t>1553.94</w:t>
      </w:r>
      <w:r>
        <w:rPr>
          <w:rFonts w:hint="eastAsia" w:ascii="仿宋_GB2312" w:hAnsi="宋体" w:eastAsia="仿宋_GB2312" w:cs="Courier New"/>
          <w:bCs/>
          <w:color w:val="000000"/>
          <w:sz w:val="32"/>
          <w:szCs w:val="32"/>
          <w:highlight w:val="none"/>
        </w:rPr>
        <w:t>万元，占</w:t>
      </w:r>
      <w:r>
        <w:rPr>
          <w:rFonts w:hint="eastAsia" w:ascii="仿宋_GB2312" w:eastAsia="仿宋_GB2312"/>
          <w:bCs/>
          <w:color w:val="000000"/>
          <w:sz w:val="32"/>
          <w:szCs w:val="32"/>
          <w:highlight w:val="none"/>
        </w:rPr>
        <w:t>100</w:t>
      </w:r>
      <w:r>
        <w:rPr>
          <w:rFonts w:ascii="仿宋_GB2312" w:hAnsi="宋体" w:eastAsia="仿宋_GB2312" w:cs="Courier New"/>
          <w:bCs/>
          <w:color w:val="000000"/>
          <w:sz w:val="32"/>
          <w:szCs w:val="32"/>
          <w:highlight w:val="none"/>
        </w:rPr>
        <w:t>%</w:t>
      </w:r>
      <w:r>
        <w:rPr>
          <w:rFonts w:hint="eastAsia" w:ascii="仿宋_GB2312" w:eastAsia="仿宋_GB2312"/>
          <w:bCs/>
          <w:color w:val="000000"/>
          <w:sz w:val="32"/>
          <w:szCs w:val="32"/>
          <w:highlight w:val="none"/>
        </w:rPr>
        <w:t>。</w:t>
      </w:r>
    </w:p>
    <w:p w14:paraId="658B94A9">
      <w:pPr>
        <w:keepNext w:val="0"/>
        <w:keepLines w:val="0"/>
        <w:pageBreakBefore w:val="0"/>
        <w:widowControl w:val="0"/>
        <w:wordWrap/>
        <w:topLinePunct w:val="0"/>
        <w:bidi w:val="0"/>
        <w:snapToGrid w:val="0"/>
        <w:spacing w:line="560" w:lineRule="exact"/>
        <w:ind w:firstLine="640" w:firstLineChars="200"/>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kern w:val="0"/>
          <w:sz w:val="32"/>
          <w:szCs w:val="32"/>
          <w:highlight w:val="none"/>
        </w:rPr>
        <w:t>九、</w:t>
      </w:r>
      <w:r>
        <w:rPr>
          <w:rFonts w:hint="eastAsia" w:ascii="黑体" w:hAnsi="黑体" w:eastAsia="黑体" w:cs="黑体"/>
          <w:b w:val="0"/>
          <w:bCs w:val="0"/>
          <w:color w:val="000000"/>
          <w:sz w:val="32"/>
          <w:szCs w:val="32"/>
          <w:highlight w:val="none"/>
          <w:shd w:val="clear" w:color="auto" w:fill="FFFFFF"/>
        </w:rPr>
        <w:t>其他重要事项的情况说明</w:t>
      </w:r>
    </w:p>
    <w:p w14:paraId="2ED96D97">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3" w:firstLineChars="200"/>
        <w:textAlignment w:val="auto"/>
        <w:rPr>
          <w:rFonts w:ascii="仿宋_GB2312" w:hAnsi="宋体" w:eastAsia="仿宋_GB2312" w:cs="Courier New"/>
          <w:color w:val="000000"/>
          <w:sz w:val="32"/>
          <w:szCs w:val="32"/>
          <w:highlight w:val="none"/>
        </w:rPr>
      </w:pPr>
      <w:r>
        <w:rPr>
          <w:rFonts w:hint="eastAsia" w:ascii="仿宋_GB2312" w:hAnsi="Times New Roman" w:eastAsia="仿宋_GB2312" w:cs="仿宋_GB2312"/>
          <w:b/>
          <w:color w:val="000000"/>
          <w:kern w:val="0"/>
          <w:sz w:val="32"/>
          <w:szCs w:val="32"/>
          <w:highlight w:val="none"/>
        </w:rPr>
        <w:t>（一）机关运行经费支出情况</w:t>
      </w:r>
    </w:p>
    <w:p w14:paraId="2C838EAE">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202</w:t>
      </w:r>
      <w:r>
        <w:rPr>
          <w:rFonts w:ascii="仿宋_GB2312" w:eastAsia="仿宋_GB2312"/>
          <w:color w:val="000000"/>
          <w:sz w:val="32"/>
          <w:szCs w:val="32"/>
          <w:highlight w:val="none"/>
        </w:rPr>
        <w:t>3</w:t>
      </w:r>
      <w:r>
        <w:rPr>
          <w:rFonts w:hint="eastAsia" w:ascii="仿宋_GB2312" w:hAnsi="宋体" w:eastAsia="仿宋_GB2312" w:cs="Courier New"/>
          <w:color w:val="000000"/>
          <w:sz w:val="32"/>
          <w:szCs w:val="32"/>
          <w:highlight w:val="none"/>
        </w:rPr>
        <w:t>年机关运行经费支出预算</w:t>
      </w:r>
      <w:r>
        <w:rPr>
          <w:rFonts w:hint="eastAsia" w:ascii="仿宋_GB2312" w:eastAsia="仿宋_GB2312"/>
          <w:color w:val="000000"/>
          <w:sz w:val="32"/>
          <w:szCs w:val="32"/>
          <w:highlight w:val="none"/>
          <w:lang w:val="en-US" w:eastAsia="zh-CN"/>
        </w:rPr>
        <w:t>27.7</w:t>
      </w:r>
      <w:r>
        <w:rPr>
          <w:rFonts w:hint="eastAsia" w:ascii="仿宋_GB2312" w:hAnsi="宋体" w:eastAsia="仿宋_GB2312" w:cs="Courier New"/>
          <w:color w:val="000000"/>
          <w:sz w:val="32"/>
          <w:szCs w:val="32"/>
          <w:highlight w:val="none"/>
        </w:rPr>
        <w:t>万元，</w:t>
      </w:r>
      <w:r>
        <w:rPr>
          <w:rFonts w:hint="eastAsia" w:ascii="仿宋_GB2312" w:eastAsia="仿宋_GB2312"/>
          <w:color w:val="000000"/>
          <w:sz w:val="32"/>
          <w:szCs w:val="32"/>
          <w:highlight w:val="none"/>
        </w:rPr>
        <w:t>主要保障机构正常运行及正常履职需要所需支出，包括公用经费、公务交通补贴、工会经费、职工福利等。</w:t>
      </w:r>
    </w:p>
    <w:p w14:paraId="600B54E2">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3" w:firstLineChars="200"/>
        <w:textAlignment w:val="auto"/>
        <w:rPr>
          <w:rFonts w:ascii="仿宋_GB2312" w:hAnsi="Times New Roman" w:eastAsia="仿宋_GB2312" w:cs="仿宋_GB2312"/>
          <w:b/>
          <w:color w:val="000000"/>
          <w:kern w:val="0"/>
          <w:sz w:val="32"/>
          <w:szCs w:val="32"/>
          <w:highlight w:val="none"/>
        </w:rPr>
      </w:pPr>
      <w:r>
        <w:rPr>
          <w:rFonts w:hint="eastAsia" w:ascii="仿宋_GB2312" w:hAnsi="Times New Roman" w:eastAsia="仿宋_GB2312" w:cs="仿宋_GB2312"/>
          <w:b/>
          <w:color w:val="000000"/>
          <w:kern w:val="0"/>
          <w:sz w:val="32"/>
          <w:szCs w:val="32"/>
          <w:highlight w:val="none"/>
        </w:rPr>
        <w:t>（二）政府采购支出情况</w:t>
      </w:r>
    </w:p>
    <w:p w14:paraId="231F2BF4">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ascii="仿宋_GB2312" w:eastAsia="仿宋_GB2312"/>
          <w:color w:val="000000"/>
          <w:sz w:val="32"/>
          <w:szCs w:val="32"/>
          <w:highlight w:val="none"/>
        </w:rPr>
      </w:pPr>
      <w:r>
        <w:rPr>
          <w:rFonts w:ascii="仿宋_GB2312" w:eastAsia="仿宋_GB2312"/>
          <w:color w:val="000000"/>
          <w:sz w:val="32"/>
          <w:szCs w:val="32"/>
          <w:highlight w:val="none"/>
        </w:rPr>
        <w:t>20</w:t>
      </w:r>
      <w:r>
        <w:rPr>
          <w:rFonts w:hint="eastAsia" w:ascii="仿宋_GB2312" w:eastAsia="仿宋_GB2312"/>
          <w:color w:val="000000"/>
          <w:sz w:val="32"/>
          <w:szCs w:val="32"/>
          <w:highlight w:val="none"/>
        </w:rPr>
        <w:t>2</w:t>
      </w:r>
      <w:r>
        <w:rPr>
          <w:rFonts w:ascii="仿宋_GB2312" w:eastAsia="仿宋_GB2312"/>
          <w:color w:val="000000"/>
          <w:sz w:val="32"/>
          <w:szCs w:val="32"/>
          <w:highlight w:val="none"/>
        </w:rPr>
        <w:t>3</w:t>
      </w:r>
      <w:r>
        <w:rPr>
          <w:rFonts w:hint="eastAsia" w:ascii="仿宋_GB2312" w:eastAsia="仿宋_GB2312"/>
          <w:color w:val="000000"/>
          <w:sz w:val="32"/>
          <w:szCs w:val="32"/>
          <w:highlight w:val="none"/>
        </w:rPr>
        <w:t>年政府采购预算安排</w:t>
      </w:r>
      <w:r>
        <w:rPr>
          <w:rFonts w:hint="eastAsia" w:ascii="仿宋_GB2312" w:eastAsia="仿宋_GB2312"/>
          <w:b/>
          <w:color w:val="000000"/>
          <w:sz w:val="32"/>
          <w:szCs w:val="32"/>
          <w:highlight w:val="none"/>
        </w:rPr>
        <w:t>0</w:t>
      </w:r>
      <w:r>
        <w:rPr>
          <w:rFonts w:hint="eastAsia" w:ascii="仿宋_GB2312" w:eastAsia="仿宋_GB2312"/>
          <w:color w:val="000000"/>
          <w:sz w:val="32"/>
          <w:szCs w:val="32"/>
          <w:highlight w:val="none"/>
        </w:rPr>
        <w:t>万元。</w:t>
      </w:r>
    </w:p>
    <w:p w14:paraId="2A1F7952">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3" w:firstLineChars="200"/>
        <w:textAlignment w:val="auto"/>
        <w:rPr>
          <w:rFonts w:ascii="仿宋_GB2312" w:hAnsi="Times New Roman" w:eastAsia="仿宋_GB2312" w:cs="仿宋_GB2312"/>
          <w:b/>
          <w:color w:val="000000"/>
          <w:sz w:val="32"/>
          <w:szCs w:val="32"/>
        </w:rPr>
      </w:pPr>
      <w:r>
        <w:rPr>
          <w:rFonts w:hint="eastAsia" w:ascii="仿宋_GB2312" w:hAnsi="Times New Roman" w:eastAsia="仿宋_GB2312" w:cs="仿宋_GB2312"/>
          <w:b/>
          <w:color w:val="000000"/>
          <w:kern w:val="0"/>
          <w:sz w:val="32"/>
          <w:szCs w:val="32"/>
        </w:rPr>
        <w:t>（三）</w:t>
      </w:r>
      <w:r>
        <w:rPr>
          <w:rFonts w:hint="eastAsia" w:ascii="仿宋_GB2312" w:hAnsi="Times New Roman" w:eastAsia="仿宋_GB2312" w:cs="仿宋_GB2312"/>
          <w:b/>
          <w:color w:val="000000"/>
          <w:sz w:val="32"/>
          <w:szCs w:val="32"/>
        </w:rPr>
        <w:t>绩效目标设置情况。</w:t>
      </w:r>
    </w:p>
    <w:p w14:paraId="0C88D0C3">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lang w:eastAsia="zh-CN"/>
        </w:rPr>
      </w:pPr>
      <w:r>
        <w:rPr>
          <w:rFonts w:hint="eastAsia" w:ascii="仿宋_GB2312" w:hAnsi="宋体" w:eastAsia="仿宋_GB2312" w:cs="Courier New"/>
          <w:color w:val="000000"/>
          <w:sz w:val="32"/>
          <w:szCs w:val="32"/>
        </w:rPr>
        <w:t>我部门2023年预算项目分别从项目产出、项目效益、项目满意度等方面设立了绩效目标，综合反映了预算的数量、质量，社会经济效益、可持续影响及服务对象满意度等情况。</w:t>
      </w:r>
      <w:r>
        <w:rPr>
          <w:rFonts w:hint="eastAsia" w:ascii="仿宋_GB2312" w:hAnsi="宋体" w:eastAsia="仿宋_GB2312" w:cs="Courier New"/>
          <w:color w:val="000000"/>
          <w:sz w:val="32"/>
          <w:szCs w:val="32"/>
          <w:lang w:eastAsia="zh-CN"/>
        </w:rPr>
        <w:t>我部门无</w:t>
      </w:r>
      <w:r>
        <w:rPr>
          <w:rFonts w:hint="eastAsia" w:ascii="仿宋_GB2312" w:hAnsi="宋体" w:eastAsia="仿宋_GB2312" w:cs="Courier New"/>
          <w:color w:val="000000"/>
          <w:sz w:val="32"/>
          <w:szCs w:val="32"/>
        </w:rPr>
        <w:t>重点项目预算</w:t>
      </w:r>
      <w:r>
        <w:rPr>
          <w:rFonts w:hint="eastAsia" w:ascii="仿宋_GB2312" w:hAnsi="宋体" w:eastAsia="仿宋_GB2312" w:cs="Courier New"/>
          <w:color w:val="000000"/>
          <w:sz w:val="32"/>
          <w:szCs w:val="32"/>
          <w:lang w:eastAsia="zh-CN"/>
        </w:rPr>
        <w:t>绩效。</w:t>
      </w:r>
    </w:p>
    <w:p w14:paraId="3310E12B">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3" w:firstLineChars="200"/>
        <w:textAlignment w:val="auto"/>
        <w:rPr>
          <w:rFonts w:ascii="仿宋_GB2312" w:hAnsi="Times New Roman" w:eastAsia="仿宋_GB2312" w:cs="仿宋_GB2312"/>
          <w:b/>
          <w:color w:val="000000"/>
          <w:kern w:val="0"/>
          <w:sz w:val="32"/>
          <w:szCs w:val="32"/>
        </w:rPr>
      </w:pPr>
      <w:r>
        <w:rPr>
          <w:rFonts w:hint="eastAsia" w:ascii="仿宋_GB2312" w:hAnsi="Times New Roman" w:eastAsia="仿宋_GB2312" w:cs="仿宋_GB2312"/>
          <w:b/>
          <w:color w:val="000000"/>
          <w:kern w:val="0"/>
          <w:sz w:val="32"/>
          <w:szCs w:val="32"/>
        </w:rPr>
        <w:t>（四）国有资产占用情况。</w:t>
      </w:r>
    </w:p>
    <w:p w14:paraId="409FF9D3">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ascii="仿宋_GB2312" w:hAnsi="宋体" w:eastAsia="仿宋_GB2312" w:cs="Courier New"/>
          <w:color w:val="000000"/>
          <w:sz w:val="32"/>
          <w:szCs w:val="32"/>
        </w:rPr>
      </w:pPr>
      <w:r>
        <w:rPr>
          <w:rFonts w:ascii="仿宋_GB2312" w:hAnsi="宋体" w:eastAsia="仿宋_GB2312" w:cs="Courier New"/>
          <w:color w:val="000000"/>
          <w:sz w:val="32"/>
          <w:szCs w:val="32"/>
        </w:rPr>
        <w:t>20</w:t>
      </w:r>
      <w:r>
        <w:rPr>
          <w:rFonts w:hint="eastAsia" w:ascii="仿宋_GB2312" w:hAnsi="宋体" w:eastAsia="仿宋_GB2312" w:cs="Courier New"/>
          <w:color w:val="000000"/>
          <w:sz w:val="32"/>
          <w:szCs w:val="32"/>
        </w:rPr>
        <w:t>2</w:t>
      </w:r>
      <w:r>
        <w:rPr>
          <w:rFonts w:ascii="仿宋_GB2312" w:hAnsi="宋体" w:eastAsia="仿宋_GB2312" w:cs="Courier New"/>
          <w:color w:val="000000"/>
          <w:sz w:val="32"/>
          <w:szCs w:val="32"/>
        </w:rPr>
        <w:t>2</w:t>
      </w:r>
      <w:r>
        <w:rPr>
          <w:rFonts w:hint="eastAsia" w:ascii="仿宋_GB2312" w:hAnsi="宋体" w:eastAsia="仿宋_GB2312" w:cs="Courier New"/>
          <w:color w:val="000000"/>
          <w:sz w:val="32"/>
          <w:szCs w:val="32"/>
        </w:rPr>
        <w:t>年末，我部门共有车辆1辆，其中：一般公务用车</w:t>
      </w:r>
      <w:r>
        <w:rPr>
          <w:rFonts w:hint="eastAsia" w:ascii="仿宋_GB2312" w:eastAsia="仿宋_GB2312"/>
          <w:color w:val="000000"/>
          <w:sz w:val="32"/>
          <w:szCs w:val="32"/>
        </w:rPr>
        <w:t>0</w:t>
      </w:r>
      <w:r>
        <w:rPr>
          <w:rFonts w:hint="eastAsia" w:ascii="仿宋_GB2312" w:hAnsi="宋体" w:eastAsia="仿宋_GB2312" w:cs="Courier New"/>
          <w:color w:val="000000"/>
          <w:sz w:val="32"/>
          <w:szCs w:val="32"/>
        </w:rPr>
        <w:t>辆、一般执法执勤用车</w:t>
      </w:r>
      <w:r>
        <w:rPr>
          <w:rFonts w:hint="eastAsia" w:ascii="仿宋_GB2312" w:eastAsia="仿宋_GB2312"/>
          <w:color w:val="000000"/>
          <w:sz w:val="32"/>
          <w:szCs w:val="32"/>
        </w:rPr>
        <w:t>1</w:t>
      </w:r>
      <w:r>
        <w:rPr>
          <w:rFonts w:hint="eastAsia" w:ascii="仿宋_GB2312" w:hAnsi="宋体" w:eastAsia="仿宋_GB2312" w:cs="Courier New"/>
          <w:color w:val="000000"/>
          <w:sz w:val="32"/>
          <w:szCs w:val="32"/>
        </w:rPr>
        <w:t>辆、特种专业技术用车</w:t>
      </w:r>
      <w:r>
        <w:rPr>
          <w:rFonts w:hint="eastAsia" w:ascii="仿宋_GB2312" w:eastAsia="仿宋_GB2312"/>
          <w:color w:val="000000"/>
          <w:sz w:val="32"/>
          <w:szCs w:val="32"/>
        </w:rPr>
        <w:t>0</w:t>
      </w:r>
      <w:r>
        <w:rPr>
          <w:rFonts w:hint="eastAsia" w:ascii="仿宋_GB2312" w:hAnsi="宋体" w:eastAsia="仿宋_GB2312" w:cs="Courier New"/>
          <w:color w:val="000000"/>
          <w:sz w:val="32"/>
          <w:szCs w:val="32"/>
        </w:rPr>
        <w:t>辆，其他用车</w:t>
      </w:r>
      <w:r>
        <w:rPr>
          <w:rFonts w:hint="eastAsia" w:ascii="仿宋_GB2312" w:eastAsia="仿宋_GB2312"/>
          <w:color w:val="000000"/>
          <w:sz w:val="32"/>
          <w:szCs w:val="32"/>
        </w:rPr>
        <w:t>0</w:t>
      </w:r>
      <w:r>
        <w:rPr>
          <w:rFonts w:hint="eastAsia" w:ascii="仿宋_GB2312" w:hAnsi="宋体" w:eastAsia="仿宋_GB2312" w:cs="Courier New"/>
          <w:color w:val="000000"/>
          <w:sz w:val="32"/>
          <w:szCs w:val="32"/>
        </w:rPr>
        <w:t>辆，其他用车主要；单价</w:t>
      </w:r>
      <w:r>
        <w:rPr>
          <w:rFonts w:ascii="仿宋_GB2312" w:hAnsi="宋体" w:eastAsia="仿宋_GB2312" w:cs="Courier New"/>
          <w:color w:val="000000"/>
          <w:sz w:val="32"/>
          <w:szCs w:val="32"/>
        </w:rPr>
        <w:t>50</w:t>
      </w:r>
      <w:r>
        <w:rPr>
          <w:rFonts w:hint="eastAsia" w:ascii="仿宋_GB2312" w:hAnsi="宋体" w:eastAsia="仿宋_GB2312" w:cs="Courier New"/>
          <w:color w:val="000000"/>
          <w:sz w:val="32"/>
          <w:szCs w:val="32"/>
        </w:rPr>
        <w:t>万元以上通用设备</w:t>
      </w:r>
      <w:r>
        <w:rPr>
          <w:rFonts w:hint="eastAsia" w:ascii="仿宋_GB2312" w:eastAsia="仿宋_GB2312"/>
          <w:color w:val="000000"/>
          <w:sz w:val="32"/>
          <w:szCs w:val="32"/>
        </w:rPr>
        <w:t>0</w:t>
      </w:r>
      <w:r>
        <w:rPr>
          <w:rFonts w:hint="eastAsia" w:ascii="仿宋_GB2312" w:hAnsi="宋体" w:eastAsia="仿宋_GB2312" w:cs="Courier New"/>
          <w:color w:val="000000"/>
          <w:sz w:val="32"/>
          <w:szCs w:val="32"/>
        </w:rPr>
        <w:t>台（套），单位价值</w:t>
      </w:r>
      <w:r>
        <w:rPr>
          <w:rFonts w:ascii="仿宋_GB2312" w:hAnsi="宋体" w:eastAsia="仿宋_GB2312" w:cs="Courier New"/>
          <w:color w:val="000000"/>
          <w:sz w:val="32"/>
          <w:szCs w:val="32"/>
        </w:rPr>
        <w:t>100</w:t>
      </w:r>
      <w:r>
        <w:rPr>
          <w:rFonts w:hint="eastAsia" w:ascii="仿宋_GB2312" w:hAnsi="宋体" w:eastAsia="仿宋_GB2312" w:cs="Courier New"/>
          <w:color w:val="000000"/>
          <w:sz w:val="32"/>
          <w:szCs w:val="32"/>
        </w:rPr>
        <w:t>万元以上专用设备</w:t>
      </w:r>
      <w:r>
        <w:rPr>
          <w:rFonts w:hint="eastAsia" w:ascii="仿宋_GB2312" w:eastAsia="仿宋_GB2312"/>
          <w:color w:val="000000"/>
          <w:sz w:val="32"/>
          <w:szCs w:val="32"/>
        </w:rPr>
        <w:t>0</w:t>
      </w:r>
      <w:r>
        <w:rPr>
          <w:rFonts w:hint="eastAsia" w:ascii="仿宋_GB2312" w:hAnsi="宋体" w:eastAsia="仿宋_GB2312" w:cs="Courier New"/>
          <w:color w:val="000000"/>
          <w:sz w:val="32"/>
          <w:szCs w:val="32"/>
        </w:rPr>
        <w:t>台（套）。</w:t>
      </w:r>
    </w:p>
    <w:p w14:paraId="1A6701AD">
      <w:pPr>
        <w:keepNext w:val="0"/>
        <w:keepLines w:val="0"/>
        <w:pageBreakBefore w:val="0"/>
        <w:widowControl w:val="0"/>
        <w:numPr>
          <w:ilvl w:val="0"/>
          <w:numId w:val="6"/>
        </w:numPr>
        <w:kinsoku w:val="0"/>
        <w:wordWrap/>
        <w:overflowPunct w:val="0"/>
        <w:topLinePunct w:val="0"/>
        <w:autoSpaceDE w:val="0"/>
        <w:autoSpaceDN w:val="0"/>
        <w:bidi w:val="0"/>
        <w:adjustRightInd w:val="0"/>
        <w:snapToGrid w:val="0"/>
        <w:spacing w:line="560" w:lineRule="exact"/>
        <w:ind w:firstLine="643" w:firstLineChars="200"/>
        <w:textAlignment w:val="auto"/>
        <w:rPr>
          <w:rFonts w:ascii="仿宋_GB2312" w:hAnsi="宋体" w:eastAsia="仿宋_GB2312" w:cs="Courier New"/>
          <w:b/>
          <w:color w:val="000000"/>
          <w:sz w:val="32"/>
          <w:szCs w:val="32"/>
        </w:rPr>
      </w:pPr>
      <w:r>
        <w:rPr>
          <w:rFonts w:hint="eastAsia" w:ascii="仿宋_GB2312" w:hAnsi="宋体" w:eastAsia="仿宋_GB2312" w:cs="Courier New"/>
          <w:b/>
          <w:color w:val="000000"/>
          <w:sz w:val="32"/>
          <w:szCs w:val="32"/>
        </w:rPr>
        <w:t>专项转移支付项目情况。</w:t>
      </w:r>
    </w:p>
    <w:p w14:paraId="381F0CBE">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黑体" w:hAnsi="黑体" w:eastAsia="黑体"/>
          <w:color w:val="000000"/>
          <w:sz w:val="32"/>
          <w:szCs w:val="32"/>
        </w:rPr>
      </w:pPr>
      <w:r>
        <w:rPr>
          <w:rFonts w:hint="eastAsia" w:ascii="仿宋_GB2312" w:hAnsi="宋体" w:eastAsia="仿宋_GB2312" w:cs="Courier New"/>
          <w:color w:val="000000"/>
          <w:sz w:val="32"/>
          <w:szCs w:val="32"/>
        </w:rPr>
        <w:t>龙安区农业农村局202</w:t>
      </w:r>
      <w:r>
        <w:rPr>
          <w:rFonts w:ascii="仿宋_GB2312" w:hAnsi="宋体" w:eastAsia="仿宋_GB2312" w:cs="Courier New"/>
          <w:color w:val="000000"/>
          <w:sz w:val="32"/>
          <w:szCs w:val="32"/>
        </w:rPr>
        <w:t>3</w:t>
      </w:r>
      <w:r>
        <w:rPr>
          <w:rFonts w:hint="eastAsia" w:ascii="仿宋_GB2312" w:hAnsi="宋体" w:eastAsia="仿宋_GB2312" w:cs="Courier New"/>
          <w:color w:val="000000"/>
          <w:sz w:val="32"/>
          <w:szCs w:val="32"/>
        </w:rPr>
        <w:t>年无专项转移支付项目。</w:t>
      </w:r>
    </w:p>
    <w:p w14:paraId="37DCC2C5">
      <w:pPr>
        <w:keepNext w:val="0"/>
        <w:keepLines w:val="0"/>
        <w:pageBreakBefore w:val="0"/>
        <w:widowControl w:val="0"/>
        <w:wordWrap/>
        <w:topLinePunct w:val="0"/>
        <w:bidi w:val="0"/>
        <w:adjustRightInd w:val="0"/>
        <w:snapToGrid w:val="0"/>
        <w:spacing w:line="560" w:lineRule="exact"/>
        <w:jc w:val="both"/>
        <w:textAlignment w:val="auto"/>
        <w:rPr>
          <w:rFonts w:hint="eastAsia" w:ascii="黑体" w:hAnsi="黑体" w:eastAsia="黑体"/>
          <w:color w:val="000000"/>
          <w:sz w:val="32"/>
          <w:szCs w:val="32"/>
        </w:rPr>
      </w:pPr>
    </w:p>
    <w:p w14:paraId="33281455">
      <w:pPr>
        <w:keepNext w:val="0"/>
        <w:keepLines w:val="0"/>
        <w:pageBreakBefore w:val="0"/>
        <w:widowControl w:val="0"/>
        <w:wordWrap/>
        <w:topLinePunct w:val="0"/>
        <w:bidi w:val="0"/>
        <w:adjustRightInd w:val="0"/>
        <w:snapToGrid w:val="0"/>
        <w:spacing w:line="560"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第三部分 名词解释</w:t>
      </w:r>
    </w:p>
    <w:p w14:paraId="34FAE8C2">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ascii="仿宋_GB2312" w:hAnsi="宋体" w:eastAsia="仿宋_GB2312" w:cs="Courier New"/>
          <w:color w:val="000000"/>
          <w:sz w:val="32"/>
          <w:szCs w:val="32"/>
        </w:rPr>
      </w:pPr>
      <w:r>
        <w:rPr>
          <w:rFonts w:hint="eastAsia" w:ascii="仿宋_GB2312" w:hAnsi="宋体" w:eastAsia="仿宋_GB2312" w:cs="Courier New"/>
          <w:color w:val="000000"/>
          <w:sz w:val="32"/>
          <w:szCs w:val="32"/>
        </w:rPr>
        <w:t>一、财政拨款收入：是指同级财政当年拨付的资金。</w:t>
      </w:r>
    </w:p>
    <w:p w14:paraId="175B1225">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ascii="仿宋_GB2312" w:hAnsi="宋体" w:eastAsia="仿宋_GB2312" w:cs="Courier New"/>
          <w:color w:val="000000"/>
          <w:sz w:val="32"/>
          <w:szCs w:val="32"/>
        </w:rPr>
      </w:pPr>
      <w:r>
        <w:rPr>
          <w:rFonts w:hint="eastAsia" w:ascii="仿宋_GB2312" w:hAnsi="宋体" w:eastAsia="仿宋_GB2312" w:cs="Courier New"/>
          <w:color w:val="000000"/>
          <w:sz w:val="32"/>
          <w:szCs w:val="32"/>
        </w:rPr>
        <w:t>二、事业收入：是指事业单位开展专业活动及辅助活动所取得的收入。</w:t>
      </w:r>
    </w:p>
    <w:p w14:paraId="15D8B368">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ascii="仿宋_GB2312" w:hAnsi="宋体" w:eastAsia="仿宋_GB2312" w:cs="Courier New"/>
          <w:color w:val="000000"/>
          <w:sz w:val="32"/>
          <w:szCs w:val="32"/>
        </w:rPr>
      </w:pPr>
      <w:r>
        <w:rPr>
          <w:rFonts w:hint="eastAsia" w:ascii="仿宋_GB2312" w:hAnsi="宋体" w:eastAsia="仿宋_GB2312" w:cs="Courier New"/>
          <w:color w:val="000000"/>
          <w:sz w:val="32"/>
          <w:szCs w:val="32"/>
        </w:rPr>
        <w:t>三、其他收入：是指部门取得的除“财政拨款”、“事业收入”、“事业单位经营收入”等以外的收入。</w:t>
      </w:r>
      <w:r>
        <w:rPr>
          <w:rFonts w:ascii="仿宋_GB2312" w:hAnsi="宋体" w:eastAsia="仿宋_GB2312" w:cs="Courier New"/>
          <w:color w:val="000000"/>
          <w:sz w:val="32"/>
          <w:szCs w:val="32"/>
        </w:rPr>
        <w:t xml:space="preserve"> </w:t>
      </w:r>
    </w:p>
    <w:p w14:paraId="583DD9F5">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ascii="仿宋_GB2312" w:hAnsi="宋体" w:eastAsia="仿宋_GB2312" w:cs="Courier New"/>
          <w:color w:val="000000"/>
          <w:sz w:val="32"/>
          <w:szCs w:val="32"/>
        </w:rPr>
      </w:pPr>
      <w:r>
        <w:rPr>
          <w:rFonts w:hint="eastAsia" w:ascii="仿宋_GB2312" w:hAnsi="宋体" w:eastAsia="仿宋_GB2312" w:cs="Courier New"/>
          <w:color w:val="000000"/>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2DB9A8B">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ascii="仿宋_GB2312" w:hAnsi="宋体" w:eastAsia="仿宋_GB2312" w:cs="Courier New"/>
          <w:color w:val="000000"/>
          <w:sz w:val="32"/>
          <w:szCs w:val="32"/>
        </w:rPr>
      </w:pPr>
      <w:r>
        <w:rPr>
          <w:rFonts w:hint="eastAsia" w:ascii="仿宋_GB2312" w:hAnsi="宋体" w:eastAsia="仿宋_GB2312" w:cs="Courier New"/>
          <w:color w:val="000000"/>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color w:val="000000"/>
          <w:sz w:val="32"/>
          <w:szCs w:val="32"/>
        </w:rPr>
        <w:t xml:space="preserve"> </w:t>
      </w:r>
      <w:r>
        <w:rPr>
          <w:rFonts w:hint="eastAsia" w:ascii="仿宋_GB2312" w:hAnsi="宋体" w:eastAsia="仿宋_GB2312" w:cs="Courier New"/>
          <w:color w:val="000000"/>
          <w:sz w:val="32"/>
          <w:szCs w:val="32"/>
        </w:rPr>
        <w:t>支差额的基金）弥补当年收支缺口的资金。</w:t>
      </w:r>
    </w:p>
    <w:p w14:paraId="7B21D061">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ascii="仿宋_GB2312" w:hAnsi="宋体" w:eastAsia="仿宋_GB2312" w:cs="Courier New"/>
          <w:color w:val="000000"/>
          <w:sz w:val="32"/>
          <w:szCs w:val="32"/>
        </w:rPr>
      </w:pPr>
      <w:r>
        <w:rPr>
          <w:rFonts w:hint="eastAsia" w:ascii="仿宋_GB2312" w:hAnsi="宋体" w:eastAsia="仿宋_GB2312" w:cs="Courier New"/>
          <w:color w:val="000000"/>
          <w:sz w:val="32"/>
          <w:szCs w:val="32"/>
        </w:rPr>
        <w:t>六、基本支出：是指为保障机构正常运转、完成日常工作任务所必需的开支，其内容包括人员经费和日常公用经费两部分。</w:t>
      </w:r>
    </w:p>
    <w:p w14:paraId="4150B157">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ascii="仿宋_GB2312" w:hAnsi="宋体" w:eastAsia="仿宋_GB2312" w:cs="Courier New"/>
          <w:color w:val="000000"/>
          <w:sz w:val="32"/>
          <w:szCs w:val="32"/>
        </w:rPr>
      </w:pPr>
      <w:r>
        <w:rPr>
          <w:rFonts w:hint="eastAsia" w:ascii="仿宋_GB2312" w:hAnsi="宋体" w:eastAsia="仿宋_GB2312" w:cs="Courier New"/>
          <w:color w:val="000000"/>
          <w:sz w:val="32"/>
          <w:szCs w:val="32"/>
        </w:rPr>
        <w:t>七、项目支出：是指在基本支出之外，为完成特定的行政工作任务或事业发展目标所发生的支出。</w:t>
      </w:r>
    </w:p>
    <w:p w14:paraId="4F83A074">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r>
        <w:rPr>
          <w:rFonts w:hint="eastAsia" w:ascii="仿宋_GB2312" w:hAnsi="宋体" w:eastAsia="仿宋_GB2312" w:cs="Courier New"/>
          <w:color w:val="000000"/>
          <w:sz w:val="32"/>
          <w:szCs w:val="32"/>
        </w:rPr>
        <w:t>八、“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A72D718">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548E7DEF">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4C7289A6">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5CB6D2AC">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7B17BF81">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25783DE1">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0E99A399">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2D6AE66A">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69D8B89D">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2D56EB85">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320B1569">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23D88C37">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638A6F95">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37CF7634">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cs="Courier New"/>
          <w:color w:val="000000"/>
          <w:sz w:val="32"/>
          <w:szCs w:val="32"/>
        </w:rPr>
      </w:pPr>
    </w:p>
    <w:p w14:paraId="299D625D">
      <w:pPr>
        <w:pStyle w:val="5"/>
        <w:rPr>
          <w:rFonts w:hint="eastAsia" w:ascii="仿宋_GB2312" w:hAnsi="宋体" w:eastAsia="仿宋_GB2312" w:cs="Courier New"/>
          <w:color w:val="000000"/>
          <w:sz w:val="32"/>
          <w:szCs w:val="32"/>
        </w:rPr>
      </w:pPr>
    </w:p>
    <w:p w14:paraId="1FB3EDAB">
      <w:pPr>
        <w:pStyle w:val="5"/>
        <w:rPr>
          <w:rFonts w:hint="eastAsia" w:ascii="仿宋_GB2312" w:hAnsi="宋体" w:eastAsia="仿宋_GB2312" w:cs="Courier New"/>
          <w:color w:val="000000"/>
          <w:sz w:val="32"/>
          <w:szCs w:val="32"/>
        </w:rPr>
      </w:pPr>
    </w:p>
    <w:p w14:paraId="084741EE">
      <w:pPr>
        <w:pStyle w:val="5"/>
        <w:rPr>
          <w:rFonts w:hint="eastAsia" w:ascii="仿宋_GB2312" w:hAnsi="宋体" w:eastAsia="仿宋_GB2312" w:cs="Courier New"/>
          <w:color w:val="000000"/>
          <w:sz w:val="32"/>
          <w:szCs w:val="32"/>
        </w:rPr>
      </w:pPr>
    </w:p>
    <w:p w14:paraId="4BFC96DC">
      <w:pPr>
        <w:pStyle w:val="5"/>
        <w:rPr>
          <w:rFonts w:hint="eastAsia" w:ascii="仿宋_GB2312" w:hAnsi="宋体" w:eastAsia="仿宋_GB2312" w:cs="Courier New"/>
          <w:color w:val="000000"/>
          <w:sz w:val="32"/>
          <w:szCs w:val="32"/>
        </w:rPr>
      </w:pPr>
    </w:p>
    <w:p w14:paraId="289C8854">
      <w:pPr>
        <w:pStyle w:val="5"/>
        <w:rPr>
          <w:rFonts w:hint="eastAsia" w:ascii="仿宋_GB2312" w:hAnsi="宋体" w:eastAsia="仿宋_GB2312" w:cs="Courier New"/>
          <w:color w:val="000000"/>
          <w:sz w:val="32"/>
          <w:szCs w:val="32"/>
        </w:rPr>
      </w:pPr>
    </w:p>
    <w:p w14:paraId="3220F112">
      <w:pPr>
        <w:pStyle w:val="5"/>
        <w:rPr>
          <w:rFonts w:hint="eastAsia" w:ascii="仿宋_GB2312" w:hAnsi="宋体" w:eastAsia="仿宋_GB2312" w:cs="Courier New"/>
          <w:color w:val="000000"/>
          <w:sz w:val="32"/>
          <w:szCs w:val="32"/>
        </w:rPr>
      </w:pPr>
    </w:p>
    <w:p w14:paraId="58C2E3FA">
      <w:pPr>
        <w:numPr>
          <w:ilvl w:val="0"/>
          <w:numId w:val="0"/>
        </w:numPr>
        <w:kinsoku w:val="0"/>
        <w:overflowPunct w:val="0"/>
        <w:autoSpaceDE w:val="0"/>
        <w:autoSpaceDN w:val="0"/>
        <w:adjustRightInd w:val="0"/>
        <w:snapToGrid w:val="0"/>
        <w:spacing w:line="360" w:lineRule="auto"/>
        <w:jc w:val="center"/>
        <w:rPr>
          <w:rFonts w:hint="eastAsia" w:ascii="黑体" w:hAnsi="黑体" w:eastAsia="黑体" w:cs="黑体"/>
          <w:sz w:val="32"/>
          <w:szCs w:val="32"/>
          <w:lang w:eastAsia="zh-CN"/>
        </w:rPr>
      </w:pPr>
    </w:p>
    <w:p w14:paraId="6A9F3E99">
      <w:pPr>
        <w:numPr>
          <w:ilvl w:val="0"/>
          <w:numId w:val="0"/>
        </w:numPr>
        <w:kinsoku w:val="0"/>
        <w:overflowPunct w:val="0"/>
        <w:autoSpaceDE w:val="0"/>
        <w:autoSpaceDN w:val="0"/>
        <w:adjustRightInd w:val="0"/>
        <w:snapToGrid w:val="0"/>
        <w:spacing w:line="360" w:lineRule="auto"/>
        <w:jc w:val="center"/>
        <w:rPr>
          <w:rFonts w:hint="eastAsia" w:ascii="黑体" w:hAnsi="黑体" w:eastAsia="黑体" w:cs="黑体"/>
          <w:sz w:val="32"/>
          <w:szCs w:val="32"/>
          <w:lang w:eastAsia="zh-CN"/>
        </w:rPr>
      </w:pPr>
    </w:p>
    <w:p w14:paraId="1E7BA84D">
      <w:pPr>
        <w:numPr>
          <w:ilvl w:val="0"/>
          <w:numId w:val="0"/>
        </w:numPr>
        <w:kinsoku w:val="0"/>
        <w:overflowPunct w:val="0"/>
        <w:autoSpaceDE w:val="0"/>
        <w:autoSpaceDN w:val="0"/>
        <w:adjustRightInd w:val="0"/>
        <w:snapToGrid w:val="0"/>
        <w:spacing w:line="360" w:lineRule="auto"/>
        <w:jc w:val="center"/>
        <w:rPr>
          <w:rFonts w:hint="eastAsia" w:ascii="黑体" w:hAnsi="黑体" w:eastAsia="黑体" w:cs="黑体"/>
          <w:sz w:val="32"/>
          <w:szCs w:val="32"/>
          <w:lang w:eastAsia="zh-CN"/>
        </w:rPr>
      </w:pPr>
    </w:p>
    <w:p w14:paraId="2AF0A7C9">
      <w:pPr>
        <w:numPr>
          <w:ilvl w:val="0"/>
          <w:numId w:val="0"/>
        </w:numPr>
        <w:kinsoku w:val="0"/>
        <w:overflowPunct w:val="0"/>
        <w:autoSpaceDE w:val="0"/>
        <w:autoSpaceDN w:val="0"/>
        <w:adjustRightInd w:val="0"/>
        <w:snapToGrid w:val="0"/>
        <w:spacing w:line="360" w:lineRule="auto"/>
        <w:jc w:val="center"/>
        <w:rPr>
          <w:rFonts w:hint="eastAsia" w:ascii="黑体" w:hAnsi="黑体" w:eastAsia="黑体" w:cs="黑体"/>
          <w:sz w:val="32"/>
          <w:szCs w:val="32"/>
          <w:lang w:eastAsia="zh-CN"/>
        </w:rPr>
      </w:pPr>
    </w:p>
    <w:p w14:paraId="6E9229F2">
      <w:pPr>
        <w:numPr>
          <w:ilvl w:val="0"/>
          <w:numId w:val="0"/>
        </w:numPr>
        <w:kinsoku w:val="0"/>
        <w:overflowPunct w:val="0"/>
        <w:autoSpaceDE w:val="0"/>
        <w:autoSpaceDN w:val="0"/>
        <w:adjustRightInd w:val="0"/>
        <w:snapToGrid w:val="0"/>
        <w:spacing w:line="360" w:lineRule="auto"/>
        <w:jc w:val="center"/>
        <w:rPr>
          <w:rFonts w:hint="eastAsia" w:ascii="黑体" w:hAnsi="黑体" w:eastAsia="黑体" w:cs="黑体"/>
          <w:sz w:val="32"/>
          <w:szCs w:val="32"/>
          <w:lang w:eastAsia="zh-CN"/>
        </w:rPr>
      </w:pPr>
    </w:p>
    <w:p w14:paraId="7649AB39">
      <w:pPr>
        <w:numPr>
          <w:ilvl w:val="0"/>
          <w:numId w:val="0"/>
        </w:numPr>
        <w:kinsoku w:val="0"/>
        <w:overflowPunct w:val="0"/>
        <w:autoSpaceDE w:val="0"/>
        <w:autoSpaceDN w:val="0"/>
        <w:adjustRightInd w:val="0"/>
        <w:snapToGrid w:val="0"/>
        <w:spacing w:line="360" w:lineRule="auto"/>
        <w:jc w:val="center"/>
        <w:rPr>
          <w:rFonts w:hint="eastAsia" w:ascii="黑体" w:hAnsi="黑体" w:eastAsia="黑体" w:cs="黑体"/>
          <w:sz w:val="32"/>
          <w:szCs w:val="32"/>
          <w:lang w:eastAsia="zh-CN"/>
        </w:rPr>
      </w:pPr>
    </w:p>
    <w:p w14:paraId="0FED47FD">
      <w:pPr>
        <w:numPr>
          <w:ilvl w:val="0"/>
          <w:numId w:val="0"/>
        </w:numPr>
        <w:kinsoku w:val="0"/>
        <w:overflowPunct w:val="0"/>
        <w:autoSpaceDE w:val="0"/>
        <w:autoSpaceDN w:val="0"/>
        <w:adjustRightInd w:val="0"/>
        <w:snapToGrid w:val="0"/>
        <w:spacing w:line="360" w:lineRule="auto"/>
        <w:jc w:val="center"/>
        <w:rPr>
          <w:rFonts w:hint="eastAsia" w:ascii="仿宋_GB2312" w:hAnsi="仿宋_GB2312" w:eastAsia="黑体" w:cs="仿宋_GB2312"/>
          <w:sz w:val="32"/>
          <w:szCs w:val="32"/>
          <w:lang w:eastAsia="zh-CN"/>
        </w:rPr>
      </w:pPr>
      <w:r>
        <w:rPr>
          <w:rFonts w:hint="eastAsia" w:ascii="黑体" w:hAnsi="黑体" w:eastAsia="黑体" w:cs="黑体"/>
          <w:sz w:val="44"/>
          <w:szCs w:val="44"/>
          <w:lang w:eastAsia="zh-CN"/>
        </w:rPr>
        <w:t>第四部分</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附件</w:t>
      </w:r>
      <w:r>
        <w:rPr>
          <w:rFonts w:hint="eastAsia" w:ascii="黑体" w:hAnsi="黑体" w:eastAsia="黑体" w:cs="黑体"/>
          <w:sz w:val="44"/>
          <w:szCs w:val="44"/>
          <w:lang w:val="en-US" w:eastAsia="zh-CN"/>
        </w:rPr>
        <w:t>:</w:t>
      </w: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年度部门预算</w:t>
      </w:r>
      <w:r>
        <w:rPr>
          <w:rFonts w:hint="eastAsia" w:ascii="黑体" w:hAnsi="黑体" w:eastAsia="黑体" w:cs="黑体"/>
          <w:sz w:val="44"/>
          <w:szCs w:val="44"/>
          <w:lang w:eastAsia="zh-CN"/>
        </w:rPr>
        <w:t>表</w:t>
      </w:r>
    </w:p>
    <w:p w14:paraId="2FBBBF83">
      <w:pPr>
        <w:keepNext w:val="0"/>
        <w:keepLines w:val="0"/>
        <w:pageBreakBefore w:val="0"/>
        <w:widowControl w:val="0"/>
        <w:kinsoku w:val="0"/>
        <w:wordWrap/>
        <w:overflowPunct w:val="0"/>
        <w:topLinePunct w:val="0"/>
        <w:autoSpaceDE w:val="0"/>
        <w:autoSpaceDN w:val="0"/>
        <w:bidi w:val="0"/>
        <w:adjustRightInd w:val="0"/>
        <w:snapToGrid w:val="0"/>
        <w:spacing w:line="560" w:lineRule="exact"/>
        <w:textAlignment w:val="auto"/>
        <w:rPr>
          <w:rFonts w:hint="eastAsia" w:ascii="仿宋_GB2312" w:hAnsi="宋体" w:eastAsia="仿宋_GB2312" w:cs="Courier New"/>
          <w:color w:val="000000"/>
          <w:sz w:val="32"/>
          <w:szCs w:val="32"/>
        </w:rPr>
        <w:sectPr>
          <w:headerReference r:id="rId3" w:type="default"/>
          <w:pgSz w:w="11906" w:h="16838"/>
          <w:pgMar w:top="2098" w:right="1474" w:bottom="1984" w:left="1587" w:header="0" w:footer="0" w:gutter="0"/>
          <w:cols w:space="0" w:num="1"/>
          <w:rtlGutter w:val="0"/>
          <w:docGrid w:linePitch="312" w:charSpace="0"/>
        </w:sectPr>
      </w:pPr>
    </w:p>
    <w:p w14:paraId="04A4D1F0">
      <w:pPr>
        <w:numPr>
          <w:ilvl w:val="0"/>
          <w:numId w:val="0"/>
        </w:numPr>
        <w:kinsoku w:val="0"/>
        <w:overflowPunct w:val="0"/>
        <w:autoSpaceDE w:val="0"/>
        <w:autoSpaceDN w:val="0"/>
        <w:adjustRightInd w:val="0"/>
        <w:snapToGrid w:val="0"/>
        <w:spacing w:line="360" w:lineRule="auto"/>
        <w:jc w:val="center"/>
      </w:pPr>
      <w:r>
        <w:drawing>
          <wp:inline distT="0" distB="0" distL="114300" distR="114300">
            <wp:extent cx="7673975" cy="5157470"/>
            <wp:effectExtent l="0" t="0" r="3175" b="5080"/>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ChangeAspect="1"/>
                    </pic:cNvPicPr>
                  </pic:nvPicPr>
                  <pic:blipFill>
                    <a:blip r:embed="rId5"/>
                    <a:stretch>
                      <a:fillRect/>
                    </a:stretch>
                  </pic:blipFill>
                  <pic:spPr>
                    <a:xfrm>
                      <a:off x="0" y="0"/>
                      <a:ext cx="7673975" cy="5157470"/>
                    </a:xfrm>
                    <a:prstGeom prst="rect">
                      <a:avLst/>
                    </a:prstGeom>
                    <a:noFill/>
                    <a:ln>
                      <a:noFill/>
                    </a:ln>
                  </pic:spPr>
                </pic:pic>
              </a:graphicData>
            </a:graphic>
          </wp:inline>
        </w:drawing>
      </w:r>
    </w:p>
    <w:p w14:paraId="52532865">
      <w:pPr>
        <w:kinsoku w:val="0"/>
        <w:overflowPunct w:val="0"/>
        <w:autoSpaceDE w:val="0"/>
        <w:autoSpaceDN w:val="0"/>
        <w:adjustRightInd w:val="0"/>
        <w:snapToGrid w:val="0"/>
        <w:spacing w:line="360" w:lineRule="auto"/>
        <w:jc w:val="both"/>
      </w:pPr>
    </w:p>
    <w:p w14:paraId="0A42FC25">
      <w:pPr>
        <w:kinsoku w:val="0"/>
        <w:overflowPunct w:val="0"/>
        <w:autoSpaceDE w:val="0"/>
        <w:autoSpaceDN w:val="0"/>
        <w:adjustRightInd w:val="0"/>
        <w:snapToGrid w:val="0"/>
        <w:spacing w:line="360" w:lineRule="auto"/>
        <w:jc w:val="center"/>
      </w:pPr>
    </w:p>
    <w:p w14:paraId="4C94C4D3">
      <w:pPr>
        <w:kinsoku w:val="0"/>
        <w:overflowPunct w:val="0"/>
        <w:autoSpaceDE w:val="0"/>
        <w:autoSpaceDN w:val="0"/>
        <w:adjustRightInd w:val="0"/>
        <w:snapToGrid w:val="0"/>
        <w:spacing w:line="360" w:lineRule="auto"/>
        <w:jc w:val="both"/>
      </w:pPr>
    </w:p>
    <w:p w14:paraId="2FB85E0A">
      <w:pPr>
        <w:kinsoku w:val="0"/>
        <w:overflowPunct w:val="0"/>
        <w:autoSpaceDE w:val="0"/>
        <w:autoSpaceDN w:val="0"/>
        <w:adjustRightInd w:val="0"/>
        <w:snapToGrid w:val="0"/>
        <w:spacing w:line="360" w:lineRule="auto"/>
        <w:jc w:val="center"/>
      </w:pPr>
      <w:r>
        <w:drawing>
          <wp:inline distT="0" distB="0" distL="114300" distR="114300">
            <wp:extent cx="9169400" cy="2140585"/>
            <wp:effectExtent l="0" t="0" r="12700" b="1206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6"/>
                    <a:stretch>
                      <a:fillRect/>
                    </a:stretch>
                  </pic:blipFill>
                  <pic:spPr>
                    <a:xfrm>
                      <a:off x="0" y="0"/>
                      <a:ext cx="9169400" cy="2140585"/>
                    </a:xfrm>
                    <a:prstGeom prst="rect">
                      <a:avLst/>
                    </a:prstGeom>
                    <a:noFill/>
                    <a:ln>
                      <a:noFill/>
                    </a:ln>
                  </pic:spPr>
                </pic:pic>
              </a:graphicData>
            </a:graphic>
          </wp:inline>
        </w:drawing>
      </w:r>
    </w:p>
    <w:p w14:paraId="2AB8DC95">
      <w:pPr>
        <w:kinsoku w:val="0"/>
        <w:overflowPunct w:val="0"/>
        <w:autoSpaceDE w:val="0"/>
        <w:autoSpaceDN w:val="0"/>
        <w:adjustRightInd w:val="0"/>
        <w:snapToGrid w:val="0"/>
        <w:spacing w:line="360" w:lineRule="auto"/>
        <w:jc w:val="center"/>
      </w:pPr>
    </w:p>
    <w:p w14:paraId="1073039F">
      <w:pPr>
        <w:kinsoku w:val="0"/>
        <w:overflowPunct w:val="0"/>
        <w:autoSpaceDE w:val="0"/>
        <w:autoSpaceDN w:val="0"/>
        <w:adjustRightInd w:val="0"/>
        <w:snapToGrid w:val="0"/>
        <w:spacing w:line="360" w:lineRule="auto"/>
        <w:jc w:val="center"/>
      </w:pPr>
    </w:p>
    <w:p w14:paraId="58EA3193">
      <w:pPr>
        <w:kinsoku w:val="0"/>
        <w:overflowPunct w:val="0"/>
        <w:autoSpaceDE w:val="0"/>
        <w:autoSpaceDN w:val="0"/>
        <w:adjustRightInd w:val="0"/>
        <w:snapToGrid w:val="0"/>
        <w:spacing w:line="360" w:lineRule="auto"/>
        <w:jc w:val="center"/>
      </w:pPr>
    </w:p>
    <w:p w14:paraId="508044D9">
      <w:pPr>
        <w:kinsoku w:val="0"/>
        <w:overflowPunct w:val="0"/>
        <w:autoSpaceDE w:val="0"/>
        <w:autoSpaceDN w:val="0"/>
        <w:adjustRightInd w:val="0"/>
        <w:snapToGrid w:val="0"/>
        <w:spacing w:line="360" w:lineRule="auto"/>
        <w:jc w:val="center"/>
      </w:pPr>
    </w:p>
    <w:p w14:paraId="75FDAAD4">
      <w:pPr>
        <w:kinsoku w:val="0"/>
        <w:overflowPunct w:val="0"/>
        <w:autoSpaceDE w:val="0"/>
        <w:autoSpaceDN w:val="0"/>
        <w:adjustRightInd w:val="0"/>
        <w:snapToGrid w:val="0"/>
        <w:spacing w:line="360" w:lineRule="auto"/>
        <w:jc w:val="center"/>
      </w:pPr>
    </w:p>
    <w:p w14:paraId="370C2DD5">
      <w:pPr>
        <w:kinsoku w:val="0"/>
        <w:overflowPunct w:val="0"/>
        <w:autoSpaceDE w:val="0"/>
        <w:autoSpaceDN w:val="0"/>
        <w:adjustRightInd w:val="0"/>
        <w:snapToGrid w:val="0"/>
        <w:spacing w:line="360" w:lineRule="auto"/>
        <w:jc w:val="center"/>
      </w:pPr>
    </w:p>
    <w:p w14:paraId="490C23EB">
      <w:pPr>
        <w:kinsoku w:val="0"/>
        <w:overflowPunct w:val="0"/>
        <w:autoSpaceDE w:val="0"/>
        <w:autoSpaceDN w:val="0"/>
        <w:adjustRightInd w:val="0"/>
        <w:snapToGrid w:val="0"/>
        <w:spacing w:line="360" w:lineRule="auto"/>
        <w:jc w:val="center"/>
      </w:pPr>
    </w:p>
    <w:p w14:paraId="6AAF1869">
      <w:pPr>
        <w:kinsoku w:val="0"/>
        <w:overflowPunct w:val="0"/>
        <w:autoSpaceDE w:val="0"/>
        <w:autoSpaceDN w:val="0"/>
        <w:adjustRightInd w:val="0"/>
        <w:snapToGrid w:val="0"/>
        <w:spacing w:line="360" w:lineRule="auto"/>
        <w:jc w:val="center"/>
      </w:pPr>
    </w:p>
    <w:p w14:paraId="0B97FFDC">
      <w:pPr>
        <w:kinsoku w:val="0"/>
        <w:overflowPunct w:val="0"/>
        <w:autoSpaceDE w:val="0"/>
        <w:autoSpaceDN w:val="0"/>
        <w:adjustRightInd w:val="0"/>
        <w:snapToGrid w:val="0"/>
        <w:spacing w:line="360" w:lineRule="auto"/>
        <w:jc w:val="center"/>
      </w:pPr>
    </w:p>
    <w:p w14:paraId="7F02D7AE">
      <w:pPr>
        <w:kinsoku w:val="0"/>
        <w:overflowPunct w:val="0"/>
        <w:autoSpaceDE w:val="0"/>
        <w:autoSpaceDN w:val="0"/>
        <w:adjustRightInd w:val="0"/>
        <w:snapToGrid w:val="0"/>
        <w:spacing w:line="360" w:lineRule="auto"/>
        <w:jc w:val="center"/>
      </w:pPr>
    </w:p>
    <w:p w14:paraId="0B9F1C47">
      <w:pPr>
        <w:kinsoku w:val="0"/>
        <w:overflowPunct w:val="0"/>
        <w:autoSpaceDE w:val="0"/>
        <w:autoSpaceDN w:val="0"/>
        <w:adjustRightInd w:val="0"/>
        <w:snapToGrid w:val="0"/>
        <w:spacing w:line="360" w:lineRule="auto"/>
        <w:jc w:val="center"/>
      </w:pPr>
    </w:p>
    <w:p w14:paraId="4DFA6B91">
      <w:pPr>
        <w:kinsoku w:val="0"/>
        <w:overflowPunct w:val="0"/>
        <w:autoSpaceDE w:val="0"/>
        <w:autoSpaceDN w:val="0"/>
        <w:adjustRightInd w:val="0"/>
        <w:snapToGrid w:val="0"/>
        <w:spacing w:line="360" w:lineRule="auto"/>
        <w:jc w:val="center"/>
      </w:pPr>
    </w:p>
    <w:p w14:paraId="07F12D47">
      <w:pPr>
        <w:kinsoku w:val="0"/>
        <w:overflowPunct w:val="0"/>
        <w:autoSpaceDE w:val="0"/>
        <w:autoSpaceDN w:val="0"/>
        <w:adjustRightInd w:val="0"/>
        <w:snapToGrid w:val="0"/>
        <w:spacing w:line="360" w:lineRule="auto"/>
        <w:jc w:val="center"/>
      </w:pPr>
    </w:p>
    <w:p w14:paraId="0B442B77">
      <w:pPr>
        <w:kinsoku w:val="0"/>
        <w:overflowPunct w:val="0"/>
        <w:autoSpaceDE w:val="0"/>
        <w:autoSpaceDN w:val="0"/>
        <w:adjustRightInd w:val="0"/>
        <w:snapToGrid w:val="0"/>
        <w:spacing w:line="360" w:lineRule="auto"/>
        <w:jc w:val="center"/>
      </w:pPr>
    </w:p>
    <w:p w14:paraId="4BEB0EDB">
      <w:pPr>
        <w:kinsoku w:val="0"/>
        <w:overflowPunct w:val="0"/>
        <w:autoSpaceDE w:val="0"/>
        <w:autoSpaceDN w:val="0"/>
        <w:adjustRightInd w:val="0"/>
        <w:snapToGrid w:val="0"/>
        <w:spacing w:line="360" w:lineRule="auto"/>
        <w:jc w:val="both"/>
      </w:pPr>
    </w:p>
    <w:p w14:paraId="6B599606">
      <w:pPr>
        <w:kinsoku w:val="0"/>
        <w:overflowPunct w:val="0"/>
        <w:autoSpaceDE w:val="0"/>
        <w:autoSpaceDN w:val="0"/>
        <w:adjustRightInd w:val="0"/>
        <w:snapToGrid w:val="0"/>
        <w:spacing w:line="360" w:lineRule="auto"/>
        <w:jc w:val="center"/>
      </w:pPr>
      <w:r>
        <w:drawing>
          <wp:inline distT="0" distB="0" distL="114300" distR="114300">
            <wp:extent cx="9036685" cy="3205480"/>
            <wp:effectExtent l="0" t="0" r="12065" b="1397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7"/>
                    <a:stretch>
                      <a:fillRect/>
                    </a:stretch>
                  </pic:blipFill>
                  <pic:spPr>
                    <a:xfrm>
                      <a:off x="0" y="0"/>
                      <a:ext cx="9036685" cy="3205480"/>
                    </a:xfrm>
                    <a:prstGeom prst="rect">
                      <a:avLst/>
                    </a:prstGeom>
                    <a:noFill/>
                    <a:ln>
                      <a:noFill/>
                    </a:ln>
                  </pic:spPr>
                </pic:pic>
              </a:graphicData>
            </a:graphic>
          </wp:inline>
        </w:drawing>
      </w:r>
    </w:p>
    <w:p w14:paraId="41914F95">
      <w:pPr>
        <w:kinsoku w:val="0"/>
        <w:overflowPunct w:val="0"/>
        <w:autoSpaceDE w:val="0"/>
        <w:autoSpaceDN w:val="0"/>
        <w:adjustRightInd w:val="0"/>
        <w:snapToGrid w:val="0"/>
        <w:spacing w:line="360" w:lineRule="auto"/>
        <w:jc w:val="center"/>
      </w:pPr>
    </w:p>
    <w:p w14:paraId="08D0165D">
      <w:pPr>
        <w:kinsoku w:val="0"/>
        <w:overflowPunct w:val="0"/>
        <w:autoSpaceDE w:val="0"/>
        <w:autoSpaceDN w:val="0"/>
        <w:adjustRightInd w:val="0"/>
        <w:snapToGrid w:val="0"/>
        <w:spacing w:line="360" w:lineRule="auto"/>
        <w:jc w:val="center"/>
      </w:pPr>
    </w:p>
    <w:p w14:paraId="3063F562">
      <w:pPr>
        <w:kinsoku w:val="0"/>
        <w:overflowPunct w:val="0"/>
        <w:autoSpaceDE w:val="0"/>
        <w:autoSpaceDN w:val="0"/>
        <w:adjustRightInd w:val="0"/>
        <w:snapToGrid w:val="0"/>
        <w:spacing w:line="360" w:lineRule="auto"/>
        <w:jc w:val="center"/>
      </w:pPr>
    </w:p>
    <w:p w14:paraId="07B1B6C3">
      <w:pPr>
        <w:kinsoku w:val="0"/>
        <w:overflowPunct w:val="0"/>
        <w:autoSpaceDE w:val="0"/>
        <w:autoSpaceDN w:val="0"/>
        <w:adjustRightInd w:val="0"/>
        <w:snapToGrid w:val="0"/>
        <w:spacing w:line="360" w:lineRule="auto"/>
        <w:jc w:val="center"/>
      </w:pPr>
    </w:p>
    <w:p w14:paraId="6D6BF70F">
      <w:pPr>
        <w:kinsoku w:val="0"/>
        <w:overflowPunct w:val="0"/>
        <w:autoSpaceDE w:val="0"/>
        <w:autoSpaceDN w:val="0"/>
        <w:adjustRightInd w:val="0"/>
        <w:snapToGrid w:val="0"/>
        <w:spacing w:line="360" w:lineRule="auto"/>
        <w:jc w:val="center"/>
      </w:pPr>
    </w:p>
    <w:p w14:paraId="0E5EC1A5">
      <w:pPr>
        <w:kinsoku w:val="0"/>
        <w:overflowPunct w:val="0"/>
        <w:autoSpaceDE w:val="0"/>
        <w:autoSpaceDN w:val="0"/>
        <w:adjustRightInd w:val="0"/>
        <w:snapToGrid w:val="0"/>
        <w:spacing w:line="360" w:lineRule="auto"/>
        <w:jc w:val="center"/>
      </w:pPr>
    </w:p>
    <w:p w14:paraId="3F767F15">
      <w:pPr>
        <w:kinsoku w:val="0"/>
        <w:overflowPunct w:val="0"/>
        <w:autoSpaceDE w:val="0"/>
        <w:autoSpaceDN w:val="0"/>
        <w:adjustRightInd w:val="0"/>
        <w:snapToGrid w:val="0"/>
        <w:spacing w:line="360" w:lineRule="auto"/>
        <w:jc w:val="center"/>
      </w:pPr>
    </w:p>
    <w:p w14:paraId="6D973F0C">
      <w:pPr>
        <w:kinsoku w:val="0"/>
        <w:overflowPunct w:val="0"/>
        <w:autoSpaceDE w:val="0"/>
        <w:autoSpaceDN w:val="0"/>
        <w:adjustRightInd w:val="0"/>
        <w:snapToGrid w:val="0"/>
        <w:spacing w:line="360" w:lineRule="auto"/>
        <w:jc w:val="center"/>
      </w:pPr>
    </w:p>
    <w:p w14:paraId="151C13AC">
      <w:pPr>
        <w:kinsoku w:val="0"/>
        <w:overflowPunct w:val="0"/>
        <w:autoSpaceDE w:val="0"/>
        <w:autoSpaceDN w:val="0"/>
        <w:adjustRightInd w:val="0"/>
        <w:snapToGrid w:val="0"/>
        <w:spacing w:line="360" w:lineRule="auto"/>
        <w:jc w:val="center"/>
      </w:pPr>
    </w:p>
    <w:p w14:paraId="205FF97F">
      <w:pPr>
        <w:kinsoku w:val="0"/>
        <w:overflowPunct w:val="0"/>
        <w:autoSpaceDE w:val="0"/>
        <w:autoSpaceDN w:val="0"/>
        <w:adjustRightInd w:val="0"/>
        <w:snapToGrid w:val="0"/>
        <w:spacing w:line="360" w:lineRule="auto"/>
        <w:jc w:val="both"/>
      </w:pPr>
    </w:p>
    <w:p w14:paraId="48F56F09">
      <w:pPr>
        <w:kinsoku w:val="0"/>
        <w:overflowPunct w:val="0"/>
        <w:autoSpaceDE w:val="0"/>
        <w:autoSpaceDN w:val="0"/>
        <w:adjustRightInd w:val="0"/>
        <w:snapToGrid w:val="0"/>
        <w:spacing w:line="360" w:lineRule="auto"/>
        <w:jc w:val="center"/>
      </w:pPr>
      <w:r>
        <w:drawing>
          <wp:inline distT="0" distB="0" distL="114300" distR="114300">
            <wp:extent cx="8944610" cy="5538470"/>
            <wp:effectExtent l="0" t="0" r="8890" b="508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8"/>
                    <a:stretch>
                      <a:fillRect/>
                    </a:stretch>
                  </pic:blipFill>
                  <pic:spPr>
                    <a:xfrm>
                      <a:off x="0" y="0"/>
                      <a:ext cx="8944610" cy="5538470"/>
                    </a:xfrm>
                    <a:prstGeom prst="rect">
                      <a:avLst/>
                    </a:prstGeom>
                    <a:noFill/>
                    <a:ln>
                      <a:noFill/>
                    </a:ln>
                  </pic:spPr>
                </pic:pic>
              </a:graphicData>
            </a:graphic>
          </wp:inline>
        </w:drawing>
      </w:r>
    </w:p>
    <w:p w14:paraId="2297B6A9">
      <w:pPr>
        <w:kinsoku w:val="0"/>
        <w:overflowPunct w:val="0"/>
        <w:autoSpaceDE w:val="0"/>
        <w:autoSpaceDN w:val="0"/>
        <w:adjustRightInd w:val="0"/>
        <w:snapToGrid w:val="0"/>
        <w:spacing w:line="360" w:lineRule="auto"/>
        <w:jc w:val="center"/>
      </w:pPr>
    </w:p>
    <w:p w14:paraId="673AC13B">
      <w:pPr>
        <w:kinsoku w:val="0"/>
        <w:overflowPunct w:val="0"/>
        <w:autoSpaceDE w:val="0"/>
        <w:autoSpaceDN w:val="0"/>
        <w:adjustRightInd w:val="0"/>
        <w:snapToGrid w:val="0"/>
        <w:spacing w:line="360" w:lineRule="auto"/>
        <w:jc w:val="center"/>
      </w:pPr>
      <w:r>
        <w:drawing>
          <wp:inline distT="0" distB="0" distL="114300" distR="114300">
            <wp:extent cx="9186545" cy="3056890"/>
            <wp:effectExtent l="0" t="0" r="14605" b="10160"/>
            <wp:docPr id="3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pic:cNvPicPr>
                      <a:picLocks noChangeAspect="1"/>
                    </pic:cNvPicPr>
                  </pic:nvPicPr>
                  <pic:blipFill>
                    <a:blip r:embed="rId9"/>
                    <a:stretch>
                      <a:fillRect/>
                    </a:stretch>
                  </pic:blipFill>
                  <pic:spPr>
                    <a:xfrm>
                      <a:off x="0" y="0"/>
                      <a:ext cx="9186545" cy="3056890"/>
                    </a:xfrm>
                    <a:prstGeom prst="rect">
                      <a:avLst/>
                    </a:prstGeom>
                    <a:noFill/>
                    <a:ln>
                      <a:noFill/>
                    </a:ln>
                  </pic:spPr>
                </pic:pic>
              </a:graphicData>
            </a:graphic>
          </wp:inline>
        </w:drawing>
      </w:r>
    </w:p>
    <w:p w14:paraId="207A7934">
      <w:pPr>
        <w:kinsoku w:val="0"/>
        <w:overflowPunct w:val="0"/>
        <w:autoSpaceDE w:val="0"/>
        <w:autoSpaceDN w:val="0"/>
        <w:adjustRightInd w:val="0"/>
        <w:snapToGrid w:val="0"/>
        <w:spacing w:line="360" w:lineRule="auto"/>
        <w:jc w:val="center"/>
      </w:pPr>
    </w:p>
    <w:p w14:paraId="0F2727DC">
      <w:pPr>
        <w:kinsoku w:val="0"/>
        <w:overflowPunct w:val="0"/>
        <w:autoSpaceDE w:val="0"/>
        <w:autoSpaceDN w:val="0"/>
        <w:adjustRightInd w:val="0"/>
        <w:snapToGrid w:val="0"/>
        <w:spacing w:line="360" w:lineRule="auto"/>
        <w:jc w:val="center"/>
      </w:pPr>
    </w:p>
    <w:p w14:paraId="33A8286C">
      <w:pPr>
        <w:kinsoku w:val="0"/>
        <w:overflowPunct w:val="0"/>
        <w:autoSpaceDE w:val="0"/>
        <w:autoSpaceDN w:val="0"/>
        <w:adjustRightInd w:val="0"/>
        <w:snapToGrid w:val="0"/>
        <w:spacing w:line="360" w:lineRule="auto"/>
        <w:jc w:val="center"/>
      </w:pPr>
    </w:p>
    <w:p w14:paraId="157B9824">
      <w:pPr>
        <w:kinsoku w:val="0"/>
        <w:overflowPunct w:val="0"/>
        <w:autoSpaceDE w:val="0"/>
        <w:autoSpaceDN w:val="0"/>
        <w:adjustRightInd w:val="0"/>
        <w:snapToGrid w:val="0"/>
        <w:spacing w:line="360" w:lineRule="auto"/>
        <w:jc w:val="center"/>
      </w:pPr>
    </w:p>
    <w:p w14:paraId="300363FF">
      <w:pPr>
        <w:kinsoku w:val="0"/>
        <w:overflowPunct w:val="0"/>
        <w:autoSpaceDE w:val="0"/>
        <w:autoSpaceDN w:val="0"/>
        <w:adjustRightInd w:val="0"/>
        <w:snapToGrid w:val="0"/>
        <w:spacing w:line="360" w:lineRule="auto"/>
        <w:jc w:val="center"/>
      </w:pPr>
    </w:p>
    <w:p w14:paraId="3CFAA6FC">
      <w:pPr>
        <w:kinsoku w:val="0"/>
        <w:overflowPunct w:val="0"/>
        <w:autoSpaceDE w:val="0"/>
        <w:autoSpaceDN w:val="0"/>
        <w:adjustRightInd w:val="0"/>
        <w:snapToGrid w:val="0"/>
        <w:spacing w:line="360" w:lineRule="auto"/>
        <w:jc w:val="center"/>
      </w:pPr>
    </w:p>
    <w:p w14:paraId="66610985">
      <w:pPr>
        <w:kinsoku w:val="0"/>
        <w:overflowPunct w:val="0"/>
        <w:autoSpaceDE w:val="0"/>
        <w:autoSpaceDN w:val="0"/>
        <w:adjustRightInd w:val="0"/>
        <w:snapToGrid w:val="0"/>
        <w:spacing w:line="360" w:lineRule="auto"/>
        <w:jc w:val="center"/>
      </w:pPr>
    </w:p>
    <w:p w14:paraId="0C1C869F">
      <w:pPr>
        <w:kinsoku w:val="0"/>
        <w:overflowPunct w:val="0"/>
        <w:autoSpaceDE w:val="0"/>
        <w:autoSpaceDN w:val="0"/>
        <w:adjustRightInd w:val="0"/>
        <w:snapToGrid w:val="0"/>
        <w:spacing w:line="360" w:lineRule="auto"/>
        <w:jc w:val="center"/>
      </w:pPr>
    </w:p>
    <w:p w14:paraId="5D328161">
      <w:pPr>
        <w:kinsoku w:val="0"/>
        <w:overflowPunct w:val="0"/>
        <w:autoSpaceDE w:val="0"/>
        <w:autoSpaceDN w:val="0"/>
        <w:adjustRightInd w:val="0"/>
        <w:snapToGrid w:val="0"/>
        <w:spacing w:line="360" w:lineRule="auto"/>
        <w:jc w:val="center"/>
      </w:pPr>
    </w:p>
    <w:p w14:paraId="601CF537">
      <w:pPr>
        <w:kinsoku w:val="0"/>
        <w:overflowPunct w:val="0"/>
        <w:autoSpaceDE w:val="0"/>
        <w:autoSpaceDN w:val="0"/>
        <w:adjustRightInd w:val="0"/>
        <w:snapToGrid w:val="0"/>
        <w:spacing w:line="360" w:lineRule="auto"/>
        <w:jc w:val="both"/>
      </w:pPr>
    </w:p>
    <w:p w14:paraId="671BB772">
      <w:pPr>
        <w:kinsoku w:val="0"/>
        <w:overflowPunct w:val="0"/>
        <w:autoSpaceDE w:val="0"/>
        <w:autoSpaceDN w:val="0"/>
        <w:adjustRightInd w:val="0"/>
        <w:snapToGrid w:val="0"/>
        <w:spacing w:line="360" w:lineRule="auto"/>
        <w:jc w:val="center"/>
      </w:pPr>
    </w:p>
    <w:p w14:paraId="3DD8643A">
      <w:pPr>
        <w:kinsoku w:val="0"/>
        <w:overflowPunct w:val="0"/>
        <w:autoSpaceDE w:val="0"/>
        <w:autoSpaceDN w:val="0"/>
        <w:adjustRightInd w:val="0"/>
        <w:snapToGrid w:val="0"/>
        <w:spacing w:line="360" w:lineRule="auto"/>
        <w:jc w:val="center"/>
      </w:pPr>
      <w:r>
        <w:drawing>
          <wp:inline distT="0" distB="0" distL="114300" distR="114300">
            <wp:extent cx="8991600" cy="4810125"/>
            <wp:effectExtent l="0" t="0" r="0" b="952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10"/>
                    <a:stretch>
                      <a:fillRect/>
                    </a:stretch>
                  </pic:blipFill>
                  <pic:spPr>
                    <a:xfrm>
                      <a:off x="0" y="0"/>
                      <a:ext cx="8991600" cy="4810125"/>
                    </a:xfrm>
                    <a:prstGeom prst="rect">
                      <a:avLst/>
                    </a:prstGeom>
                    <a:noFill/>
                    <a:ln>
                      <a:noFill/>
                    </a:ln>
                  </pic:spPr>
                </pic:pic>
              </a:graphicData>
            </a:graphic>
          </wp:inline>
        </w:drawing>
      </w:r>
    </w:p>
    <w:p w14:paraId="5B8D9855">
      <w:pPr>
        <w:kinsoku w:val="0"/>
        <w:overflowPunct w:val="0"/>
        <w:autoSpaceDE w:val="0"/>
        <w:autoSpaceDN w:val="0"/>
        <w:adjustRightInd w:val="0"/>
        <w:snapToGrid w:val="0"/>
        <w:spacing w:line="360" w:lineRule="auto"/>
        <w:jc w:val="center"/>
      </w:pPr>
    </w:p>
    <w:p w14:paraId="1D386A4B">
      <w:pPr>
        <w:kinsoku w:val="0"/>
        <w:overflowPunct w:val="0"/>
        <w:autoSpaceDE w:val="0"/>
        <w:autoSpaceDN w:val="0"/>
        <w:adjustRightInd w:val="0"/>
        <w:snapToGrid w:val="0"/>
        <w:spacing w:line="360" w:lineRule="auto"/>
        <w:jc w:val="center"/>
      </w:pPr>
    </w:p>
    <w:p w14:paraId="7E87571D">
      <w:pPr>
        <w:kinsoku w:val="0"/>
        <w:overflowPunct w:val="0"/>
        <w:autoSpaceDE w:val="0"/>
        <w:autoSpaceDN w:val="0"/>
        <w:adjustRightInd w:val="0"/>
        <w:snapToGrid w:val="0"/>
        <w:spacing w:line="360" w:lineRule="auto"/>
        <w:jc w:val="center"/>
      </w:pPr>
    </w:p>
    <w:p w14:paraId="124810C6">
      <w:pPr>
        <w:kinsoku w:val="0"/>
        <w:overflowPunct w:val="0"/>
        <w:autoSpaceDE w:val="0"/>
        <w:autoSpaceDN w:val="0"/>
        <w:adjustRightInd w:val="0"/>
        <w:snapToGrid w:val="0"/>
        <w:spacing w:line="360" w:lineRule="auto"/>
        <w:jc w:val="center"/>
      </w:pPr>
      <w:r>
        <w:drawing>
          <wp:inline distT="0" distB="0" distL="114300" distR="114300">
            <wp:extent cx="9076690" cy="5374005"/>
            <wp:effectExtent l="0" t="0" r="10160" b="17145"/>
            <wp:docPr id="3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ChangeAspect="1"/>
                    </pic:cNvPicPr>
                  </pic:nvPicPr>
                  <pic:blipFill>
                    <a:blip r:embed="rId11"/>
                    <a:stretch>
                      <a:fillRect/>
                    </a:stretch>
                  </pic:blipFill>
                  <pic:spPr>
                    <a:xfrm>
                      <a:off x="0" y="0"/>
                      <a:ext cx="9076690" cy="5374005"/>
                    </a:xfrm>
                    <a:prstGeom prst="rect">
                      <a:avLst/>
                    </a:prstGeom>
                    <a:noFill/>
                    <a:ln>
                      <a:noFill/>
                    </a:ln>
                  </pic:spPr>
                </pic:pic>
              </a:graphicData>
            </a:graphic>
          </wp:inline>
        </w:drawing>
      </w:r>
    </w:p>
    <w:p w14:paraId="021533B8">
      <w:pPr>
        <w:kinsoku w:val="0"/>
        <w:overflowPunct w:val="0"/>
        <w:autoSpaceDE w:val="0"/>
        <w:autoSpaceDN w:val="0"/>
        <w:adjustRightInd w:val="0"/>
        <w:snapToGrid w:val="0"/>
        <w:spacing w:line="360" w:lineRule="auto"/>
        <w:jc w:val="center"/>
      </w:pPr>
    </w:p>
    <w:p w14:paraId="6DAC0DE7">
      <w:pPr>
        <w:kinsoku w:val="0"/>
        <w:overflowPunct w:val="0"/>
        <w:autoSpaceDE w:val="0"/>
        <w:autoSpaceDN w:val="0"/>
        <w:adjustRightInd w:val="0"/>
        <w:snapToGrid w:val="0"/>
        <w:spacing w:line="360" w:lineRule="auto"/>
        <w:jc w:val="center"/>
      </w:pPr>
    </w:p>
    <w:p w14:paraId="7AE7B300">
      <w:pPr>
        <w:kinsoku w:val="0"/>
        <w:overflowPunct w:val="0"/>
        <w:autoSpaceDE w:val="0"/>
        <w:autoSpaceDN w:val="0"/>
        <w:adjustRightInd w:val="0"/>
        <w:snapToGrid w:val="0"/>
        <w:spacing w:line="360" w:lineRule="auto"/>
        <w:jc w:val="center"/>
      </w:pPr>
    </w:p>
    <w:p w14:paraId="3E7F91AC">
      <w:pPr>
        <w:kinsoku w:val="0"/>
        <w:overflowPunct w:val="0"/>
        <w:autoSpaceDE w:val="0"/>
        <w:autoSpaceDN w:val="0"/>
        <w:adjustRightInd w:val="0"/>
        <w:snapToGrid w:val="0"/>
        <w:spacing w:line="360" w:lineRule="auto"/>
        <w:jc w:val="center"/>
      </w:pPr>
    </w:p>
    <w:p w14:paraId="674AA1D9">
      <w:pPr>
        <w:kinsoku w:val="0"/>
        <w:overflowPunct w:val="0"/>
        <w:autoSpaceDE w:val="0"/>
        <w:autoSpaceDN w:val="0"/>
        <w:adjustRightInd w:val="0"/>
        <w:snapToGrid w:val="0"/>
        <w:spacing w:line="360" w:lineRule="auto"/>
        <w:jc w:val="center"/>
      </w:pPr>
      <w:r>
        <w:drawing>
          <wp:inline distT="0" distB="0" distL="114300" distR="114300">
            <wp:extent cx="8924925" cy="2181225"/>
            <wp:effectExtent l="0" t="0" r="9525" b="9525"/>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12"/>
                    <a:stretch>
                      <a:fillRect/>
                    </a:stretch>
                  </pic:blipFill>
                  <pic:spPr>
                    <a:xfrm>
                      <a:off x="0" y="0"/>
                      <a:ext cx="8924925" cy="2181225"/>
                    </a:xfrm>
                    <a:prstGeom prst="rect">
                      <a:avLst/>
                    </a:prstGeom>
                    <a:noFill/>
                    <a:ln>
                      <a:noFill/>
                    </a:ln>
                  </pic:spPr>
                </pic:pic>
              </a:graphicData>
            </a:graphic>
          </wp:inline>
        </w:drawing>
      </w:r>
    </w:p>
    <w:p w14:paraId="06906A43">
      <w:pPr>
        <w:kinsoku w:val="0"/>
        <w:overflowPunct w:val="0"/>
        <w:autoSpaceDE w:val="0"/>
        <w:autoSpaceDN w:val="0"/>
        <w:adjustRightInd w:val="0"/>
        <w:snapToGrid w:val="0"/>
        <w:spacing w:line="360" w:lineRule="auto"/>
        <w:jc w:val="center"/>
      </w:pPr>
    </w:p>
    <w:p w14:paraId="1A91A2AF">
      <w:pPr>
        <w:kinsoku w:val="0"/>
        <w:overflowPunct w:val="0"/>
        <w:autoSpaceDE w:val="0"/>
        <w:autoSpaceDN w:val="0"/>
        <w:adjustRightInd w:val="0"/>
        <w:snapToGrid w:val="0"/>
        <w:spacing w:line="360" w:lineRule="auto"/>
        <w:jc w:val="center"/>
      </w:pPr>
    </w:p>
    <w:p w14:paraId="6477BA7B">
      <w:pPr>
        <w:kinsoku w:val="0"/>
        <w:overflowPunct w:val="0"/>
        <w:autoSpaceDE w:val="0"/>
        <w:autoSpaceDN w:val="0"/>
        <w:adjustRightInd w:val="0"/>
        <w:snapToGrid w:val="0"/>
        <w:spacing w:line="360" w:lineRule="auto"/>
        <w:jc w:val="center"/>
      </w:pPr>
    </w:p>
    <w:p w14:paraId="4EC1D783">
      <w:pPr>
        <w:kinsoku w:val="0"/>
        <w:overflowPunct w:val="0"/>
        <w:autoSpaceDE w:val="0"/>
        <w:autoSpaceDN w:val="0"/>
        <w:adjustRightInd w:val="0"/>
        <w:snapToGrid w:val="0"/>
        <w:spacing w:line="360" w:lineRule="auto"/>
        <w:jc w:val="center"/>
      </w:pPr>
    </w:p>
    <w:p w14:paraId="3D62ABFD">
      <w:pPr>
        <w:kinsoku w:val="0"/>
        <w:overflowPunct w:val="0"/>
        <w:autoSpaceDE w:val="0"/>
        <w:autoSpaceDN w:val="0"/>
        <w:adjustRightInd w:val="0"/>
        <w:snapToGrid w:val="0"/>
        <w:spacing w:line="360" w:lineRule="auto"/>
        <w:jc w:val="center"/>
      </w:pPr>
    </w:p>
    <w:p w14:paraId="4857236C">
      <w:pPr>
        <w:kinsoku w:val="0"/>
        <w:overflowPunct w:val="0"/>
        <w:autoSpaceDE w:val="0"/>
        <w:autoSpaceDN w:val="0"/>
        <w:adjustRightInd w:val="0"/>
        <w:snapToGrid w:val="0"/>
        <w:spacing w:line="360" w:lineRule="auto"/>
        <w:jc w:val="center"/>
      </w:pPr>
    </w:p>
    <w:p w14:paraId="51349CD6">
      <w:pPr>
        <w:kinsoku w:val="0"/>
        <w:overflowPunct w:val="0"/>
        <w:autoSpaceDE w:val="0"/>
        <w:autoSpaceDN w:val="0"/>
        <w:adjustRightInd w:val="0"/>
        <w:snapToGrid w:val="0"/>
        <w:spacing w:line="360" w:lineRule="auto"/>
        <w:jc w:val="center"/>
      </w:pPr>
    </w:p>
    <w:p w14:paraId="71DF8630">
      <w:pPr>
        <w:kinsoku w:val="0"/>
        <w:overflowPunct w:val="0"/>
        <w:autoSpaceDE w:val="0"/>
        <w:autoSpaceDN w:val="0"/>
        <w:adjustRightInd w:val="0"/>
        <w:snapToGrid w:val="0"/>
        <w:spacing w:line="360" w:lineRule="auto"/>
        <w:jc w:val="center"/>
      </w:pPr>
    </w:p>
    <w:p w14:paraId="570C49D0">
      <w:pPr>
        <w:kinsoku w:val="0"/>
        <w:overflowPunct w:val="0"/>
        <w:autoSpaceDE w:val="0"/>
        <w:autoSpaceDN w:val="0"/>
        <w:adjustRightInd w:val="0"/>
        <w:snapToGrid w:val="0"/>
        <w:spacing w:line="360" w:lineRule="auto"/>
        <w:jc w:val="center"/>
      </w:pPr>
    </w:p>
    <w:p w14:paraId="60C74C8E">
      <w:pPr>
        <w:kinsoku w:val="0"/>
        <w:overflowPunct w:val="0"/>
        <w:autoSpaceDE w:val="0"/>
        <w:autoSpaceDN w:val="0"/>
        <w:adjustRightInd w:val="0"/>
        <w:snapToGrid w:val="0"/>
        <w:spacing w:line="360" w:lineRule="auto"/>
        <w:jc w:val="center"/>
      </w:pPr>
    </w:p>
    <w:p w14:paraId="17C88C11">
      <w:pPr>
        <w:kinsoku w:val="0"/>
        <w:overflowPunct w:val="0"/>
        <w:autoSpaceDE w:val="0"/>
        <w:autoSpaceDN w:val="0"/>
        <w:adjustRightInd w:val="0"/>
        <w:snapToGrid w:val="0"/>
        <w:spacing w:line="360" w:lineRule="auto"/>
        <w:jc w:val="center"/>
      </w:pPr>
    </w:p>
    <w:p w14:paraId="3CD0CCB3">
      <w:pPr>
        <w:kinsoku w:val="0"/>
        <w:overflowPunct w:val="0"/>
        <w:autoSpaceDE w:val="0"/>
        <w:autoSpaceDN w:val="0"/>
        <w:adjustRightInd w:val="0"/>
        <w:snapToGrid w:val="0"/>
        <w:spacing w:line="360" w:lineRule="auto"/>
        <w:jc w:val="center"/>
      </w:pPr>
    </w:p>
    <w:p w14:paraId="67367D84">
      <w:pPr>
        <w:kinsoku w:val="0"/>
        <w:overflowPunct w:val="0"/>
        <w:autoSpaceDE w:val="0"/>
        <w:autoSpaceDN w:val="0"/>
        <w:adjustRightInd w:val="0"/>
        <w:snapToGrid w:val="0"/>
        <w:spacing w:line="360" w:lineRule="auto"/>
        <w:jc w:val="center"/>
      </w:pPr>
    </w:p>
    <w:p w14:paraId="6F11FA34">
      <w:pPr>
        <w:kinsoku w:val="0"/>
        <w:overflowPunct w:val="0"/>
        <w:autoSpaceDE w:val="0"/>
        <w:autoSpaceDN w:val="0"/>
        <w:adjustRightInd w:val="0"/>
        <w:snapToGrid w:val="0"/>
        <w:spacing w:line="360" w:lineRule="auto"/>
        <w:jc w:val="center"/>
      </w:pPr>
    </w:p>
    <w:p w14:paraId="281FDFF9">
      <w:pPr>
        <w:kinsoku w:val="0"/>
        <w:overflowPunct w:val="0"/>
        <w:autoSpaceDE w:val="0"/>
        <w:autoSpaceDN w:val="0"/>
        <w:adjustRightInd w:val="0"/>
        <w:snapToGrid w:val="0"/>
        <w:spacing w:line="360" w:lineRule="auto"/>
        <w:jc w:val="center"/>
      </w:pPr>
    </w:p>
    <w:p w14:paraId="322869E1">
      <w:pPr>
        <w:kinsoku w:val="0"/>
        <w:overflowPunct w:val="0"/>
        <w:autoSpaceDE w:val="0"/>
        <w:autoSpaceDN w:val="0"/>
        <w:adjustRightInd w:val="0"/>
        <w:snapToGrid w:val="0"/>
        <w:spacing w:line="360" w:lineRule="auto"/>
        <w:jc w:val="center"/>
      </w:pPr>
      <w:r>
        <w:drawing>
          <wp:inline distT="0" distB="0" distL="114300" distR="114300">
            <wp:extent cx="9250045" cy="2132965"/>
            <wp:effectExtent l="0" t="0" r="8255" b="635"/>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13"/>
                    <a:stretch>
                      <a:fillRect/>
                    </a:stretch>
                  </pic:blipFill>
                  <pic:spPr>
                    <a:xfrm>
                      <a:off x="0" y="0"/>
                      <a:ext cx="9250045" cy="2132965"/>
                    </a:xfrm>
                    <a:prstGeom prst="rect">
                      <a:avLst/>
                    </a:prstGeom>
                    <a:noFill/>
                    <a:ln>
                      <a:noFill/>
                    </a:ln>
                  </pic:spPr>
                </pic:pic>
              </a:graphicData>
            </a:graphic>
          </wp:inline>
        </w:drawing>
      </w:r>
    </w:p>
    <w:p w14:paraId="41E1D043">
      <w:pPr>
        <w:kinsoku w:val="0"/>
        <w:overflowPunct w:val="0"/>
        <w:autoSpaceDE w:val="0"/>
        <w:autoSpaceDN w:val="0"/>
        <w:adjustRightInd w:val="0"/>
        <w:snapToGrid w:val="0"/>
        <w:spacing w:line="360" w:lineRule="auto"/>
        <w:jc w:val="center"/>
      </w:pPr>
    </w:p>
    <w:p w14:paraId="061756DB">
      <w:pPr>
        <w:kinsoku w:val="0"/>
        <w:overflowPunct w:val="0"/>
        <w:autoSpaceDE w:val="0"/>
        <w:autoSpaceDN w:val="0"/>
        <w:adjustRightInd w:val="0"/>
        <w:snapToGrid w:val="0"/>
        <w:spacing w:line="360" w:lineRule="auto"/>
        <w:jc w:val="center"/>
      </w:pPr>
    </w:p>
    <w:p w14:paraId="4AF9B283">
      <w:pPr>
        <w:kinsoku w:val="0"/>
        <w:overflowPunct w:val="0"/>
        <w:autoSpaceDE w:val="0"/>
        <w:autoSpaceDN w:val="0"/>
        <w:adjustRightInd w:val="0"/>
        <w:snapToGrid w:val="0"/>
        <w:spacing w:line="360" w:lineRule="auto"/>
        <w:jc w:val="center"/>
      </w:pPr>
    </w:p>
    <w:p w14:paraId="4D90C55E">
      <w:pPr>
        <w:kinsoku w:val="0"/>
        <w:overflowPunct w:val="0"/>
        <w:autoSpaceDE w:val="0"/>
        <w:autoSpaceDN w:val="0"/>
        <w:adjustRightInd w:val="0"/>
        <w:snapToGrid w:val="0"/>
        <w:spacing w:line="360" w:lineRule="auto"/>
        <w:jc w:val="center"/>
      </w:pPr>
    </w:p>
    <w:p w14:paraId="4FDB2804">
      <w:pPr>
        <w:kinsoku w:val="0"/>
        <w:overflowPunct w:val="0"/>
        <w:autoSpaceDE w:val="0"/>
        <w:autoSpaceDN w:val="0"/>
        <w:adjustRightInd w:val="0"/>
        <w:snapToGrid w:val="0"/>
        <w:spacing w:line="360" w:lineRule="auto"/>
        <w:jc w:val="center"/>
      </w:pPr>
    </w:p>
    <w:p w14:paraId="4301A124">
      <w:pPr>
        <w:kinsoku w:val="0"/>
        <w:overflowPunct w:val="0"/>
        <w:autoSpaceDE w:val="0"/>
        <w:autoSpaceDN w:val="0"/>
        <w:adjustRightInd w:val="0"/>
        <w:snapToGrid w:val="0"/>
        <w:spacing w:line="360" w:lineRule="auto"/>
        <w:jc w:val="center"/>
      </w:pPr>
    </w:p>
    <w:p w14:paraId="75432993">
      <w:pPr>
        <w:kinsoku w:val="0"/>
        <w:overflowPunct w:val="0"/>
        <w:autoSpaceDE w:val="0"/>
        <w:autoSpaceDN w:val="0"/>
        <w:adjustRightInd w:val="0"/>
        <w:snapToGrid w:val="0"/>
        <w:spacing w:line="360" w:lineRule="auto"/>
        <w:jc w:val="center"/>
      </w:pPr>
    </w:p>
    <w:p w14:paraId="19D01382">
      <w:pPr>
        <w:kinsoku w:val="0"/>
        <w:overflowPunct w:val="0"/>
        <w:autoSpaceDE w:val="0"/>
        <w:autoSpaceDN w:val="0"/>
        <w:adjustRightInd w:val="0"/>
        <w:snapToGrid w:val="0"/>
        <w:spacing w:line="360" w:lineRule="auto"/>
        <w:jc w:val="center"/>
      </w:pPr>
    </w:p>
    <w:p w14:paraId="1540BCEF">
      <w:pPr>
        <w:kinsoku w:val="0"/>
        <w:overflowPunct w:val="0"/>
        <w:autoSpaceDE w:val="0"/>
        <w:autoSpaceDN w:val="0"/>
        <w:adjustRightInd w:val="0"/>
        <w:snapToGrid w:val="0"/>
        <w:spacing w:line="360" w:lineRule="auto"/>
        <w:jc w:val="center"/>
      </w:pPr>
    </w:p>
    <w:p w14:paraId="489B1115">
      <w:pPr>
        <w:kinsoku w:val="0"/>
        <w:overflowPunct w:val="0"/>
        <w:autoSpaceDE w:val="0"/>
        <w:autoSpaceDN w:val="0"/>
        <w:adjustRightInd w:val="0"/>
        <w:snapToGrid w:val="0"/>
        <w:spacing w:line="360" w:lineRule="auto"/>
        <w:jc w:val="center"/>
      </w:pPr>
    </w:p>
    <w:p w14:paraId="281634B0">
      <w:pPr>
        <w:kinsoku w:val="0"/>
        <w:overflowPunct w:val="0"/>
        <w:autoSpaceDE w:val="0"/>
        <w:autoSpaceDN w:val="0"/>
        <w:adjustRightInd w:val="0"/>
        <w:snapToGrid w:val="0"/>
        <w:spacing w:line="360" w:lineRule="auto"/>
        <w:jc w:val="center"/>
      </w:pPr>
    </w:p>
    <w:p w14:paraId="00F598DC">
      <w:pPr>
        <w:kinsoku w:val="0"/>
        <w:overflowPunct w:val="0"/>
        <w:autoSpaceDE w:val="0"/>
        <w:autoSpaceDN w:val="0"/>
        <w:adjustRightInd w:val="0"/>
        <w:snapToGrid w:val="0"/>
        <w:spacing w:line="360" w:lineRule="auto"/>
        <w:jc w:val="center"/>
      </w:pPr>
    </w:p>
    <w:p w14:paraId="6BC72CC2">
      <w:pPr>
        <w:kinsoku w:val="0"/>
        <w:overflowPunct w:val="0"/>
        <w:autoSpaceDE w:val="0"/>
        <w:autoSpaceDN w:val="0"/>
        <w:adjustRightInd w:val="0"/>
        <w:snapToGrid w:val="0"/>
        <w:spacing w:line="360" w:lineRule="auto"/>
        <w:jc w:val="both"/>
      </w:pPr>
    </w:p>
    <w:p w14:paraId="08B2AE42">
      <w:pPr>
        <w:kinsoku w:val="0"/>
        <w:overflowPunct w:val="0"/>
        <w:autoSpaceDE w:val="0"/>
        <w:autoSpaceDN w:val="0"/>
        <w:adjustRightInd w:val="0"/>
        <w:snapToGrid w:val="0"/>
        <w:spacing w:line="360" w:lineRule="auto"/>
        <w:jc w:val="center"/>
      </w:pPr>
      <w:r>
        <w:drawing>
          <wp:inline distT="0" distB="0" distL="114300" distR="114300">
            <wp:extent cx="8778875" cy="5727065"/>
            <wp:effectExtent l="0" t="0" r="3175" b="6985"/>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14"/>
                    <a:stretch>
                      <a:fillRect/>
                    </a:stretch>
                  </pic:blipFill>
                  <pic:spPr>
                    <a:xfrm>
                      <a:off x="0" y="0"/>
                      <a:ext cx="8778875" cy="5727065"/>
                    </a:xfrm>
                    <a:prstGeom prst="rect">
                      <a:avLst/>
                    </a:prstGeom>
                    <a:noFill/>
                    <a:ln>
                      <a:noFill/>
                    </a:ln>
                  </pic:spPr>
                </pic:pic>
              </a:graphicData>
            </a:graphic>
          </wp:inline>
        </w:drawing>
      </w:r>
    </w:p>
    <w:p w14:paraId="6D90460C">
      <w:pPr>
        <w:kinsoku w:val="0"/>
        <w:overflowPunct w:val="0"/>
        <w:autoSpaceDE w:val="0"/>
        <w:autoSpaceDN w:val="0"/>
        <w:adjustRightInd w:val="0"/>
        <w:snapToGrid w:val="0"/>
        <w:spacing w:line="360" w:lineRule="auto"/>
        <w:jc w:val="both"/>
        <w:rPr>
          <w:rFonts w:hint="eastAsia"/>
        </w:rPr>
        <w:sectPr>
          <w:pgSz w:w="16838" w:h="11906" w:orient="landscape"/>
          <w:pgMar w:top="1417" w:right="1134" w:bottom="1134" w:left="1134" w:header="0" w:footer="0" w:gutter="0"/>
          <w:cols w:space="0" w:num="1"/>
          <w:rtlGutter w:val="0"/>
          <w:docGrid w:linePitch="312" w:charSpace="0"/>
        </w:sectPr>
      </w:pPr>
    </w:p>
    <w:p w14:paraId="5581378D">
      <w:pPr>
        <w:kinsoku w:val="0"/>
        <w:overflowPunct w:val="0"/>
        <w:autoSpaceDE w:val="0"/>
        <w:autoSpaceDN w:val="0"/>
        <w:adjustRightInd w:val="0"/>
        <w:snapToGrid w:val="0"/>
        <w:spacing w:line="360" w:lineRule="auto"/>
        <w:jc w:val="center"/>
        <w:sectPr>
          <w:pgSz w:w="11906" w:h="16838"/>
          <w:pgMar w:top="1134" w:right="1134" w:bottom="1134" w:left="1417" w:header="0" w:footer="0" w:gutter="0"/>
          <w:cols w:space="0" w:num="1"/>
          <w:rtlGutter w:val="0"/>
          <w:docGrid w:linePitch="312" w:charSpace="0"/>
        </w:sectPr>
      </w:pPr>
      <w:r>
        <w:drawing>
          <wp:inline distT="0" distB="0" distL="114300" distR="114300">
            <wp:extent cx="5718175" cy="9150350"/>
            <wp:effectExtent l="0" t="0" r="15875" b="1270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15"/>
                    <a:stretch>
                      <a:fillRect/>
                    </a:stretch>
                  </pic:blipFill>
                  <pic:spPr>
                    <a:xfrm>
                      <a:off x="0" y="0"/>
                      <a:ext cx="5718175" cy="9150350"/>
                    </a:xfrm>
                    <a:prstGeom prst="rect">
                      <a:avLst/>
                    </a:prstGeom>
                    <a:noFill/>
                    <a:ln>
                      <a:noFill/>
                    </a:ln>
                  </pic:spPr>
                </pic:pic>
              </a:graphicData>
            </a:graphic>
          </wp:inline>
        </w:drawing>
      </w:r>
    </w:p>
    <w:p w14:paraId="70723CE3">
      <w:pPr>
        <w:kinsoku w:val="0"/>
        <w:overflowPunct w:val="0"/>
        <w:autoSpaceDE w:val="0"/>
        <w:autoSpaceDN w:val="0"/>
        <w:adjustRightInd w:val="0"/>
        <w:snapToGrid w:val="0"/>
        <w:spacing w:line="360" w:lineRule="auto"/>
        <w:jc w:val="center"/>
        <w:rPr>
          <w:rFonts w:hint="eastAsia"/>
        </w:rPr>
      </w:pPr>
      <w:r>
        <w:drawing>
          <wp:inline distT="0" distB="0" distL="114300" distR="114300">
            <wp:extent cx="8910955" cy="5870575"/>
            <wp:effectExtent l="0" t="0" r="4445" b="15875"/>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ChangeAspect="1"/>
                    </pic:cNvPicPr>
                  </pic:nvPicPr>
                  <pic:blipFill>
                    <a:blip r:embed="rId16"/>
                    <a:stretch>
                      <a:fillRect/>
                    </a:stretch>
                  </pic:blipFill>
                  <pic:spPr>
                    <a:xfrm>
                      <a:off x="0" y="0"/>
                      <a:ext cx="8910955" cy="5870575"/>
                    </a:xfrm>
                    <a:prstGeom prst="rect">
                      <a:avLst/>
                    </a:prstGeom>
                    <a:noFill/>
                    <a:ln>
                      <a:noFill/>
                    </a:ln>
                  </pic:spPr>
                </pic:pic>
              </a:graphicData>
            </a:graphic>
          </wp:inline>
        </w:drawing>
      </w:r>
    </w:p>
    <w:sectPr>
      <w:pgSz w:w="16838" w:h="11906" w:orient="landscape"/>
      <w:pgMar w:top="1417" w:right="1134" w:bottom="1134" w:left="1134"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801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CA8E6"/>
    <w:multiLevelType w:val="singleLevel"/>
    <w:tmpl w:val="8B9CA8E6"/>
    <w:lvl w:ilvl="0" w:tentative="0">
      <w:start w:val="15"/>
      <w:numFmt w:val="chineseCounting"/>
      <w:suff w:val="nothing"/>
      <w:lvlText w:val="（%1）"/>
      <w:lvlJc w:val="left"/>
      <w:pPr>
        <w:ind w:left="110" w:hanging="110"/>
      </w:pPr>
      <w:rPr>
        <w:rFonts w:hint="eastAsia"/>
      </w:rPr>
    </w:lvl>
  </w:abstractNum>
  <w:abstractNum w:abstractNumId="1">
    <w:nsid w:val="92B37898"/>
    <w:multiLevelType w:val="singleLevel"/>
    <w:tmpl w:val="92B37898"/>
    <w:lvl w:ilvl="0" w:tentative="0">
      <w:start w:val="11"/>
      <w:numFmt w:val="chineseCounting"/>
      <w:lvlText w:val="(%1)"/>
      <w:lvlJc w:val="left"/>
      <w:pPr>
        <w:tabs>
          <w:tab w:val="left" w:pos="312"/>
        </w:tabs>
        <w:ind w:left="0" w:firstLine="0"/>
      </w:pPr>
      <w:rPr>
        <w:rFonts w:hint="eastAsia"/>
      </w:rPr>
    </w:lvl>
  </w:abstractNum>
  <w:abstractNum w:abstractNumId="2">
    <w:nsid w:val="B7081DD4"/>
    <w:multiLevelType w:val="singleLevel"/>
    <w:tmpl w:val="B7081DD4"/>
    <w:lvl w:ilvl="0" w:tentative="0">
      <w:start w:val="5"/>
      <w:numFmt w:val="chineseCounting"/>
      <w:suff w:val="nothing"/>
      <w:lvlText w:val="（%1）"/>
      <w:lvlJc w:val="left"/>
      <w:pPr>
        <w:ind w:left="0" w:firstLine="0"/>
      </w:pPr>
      <w:rPr>
        <w:rFonts w:hint="eastAsia"/>
      </w:rPr>
    </w:lvl>
  </w:abstractNum>
  <w:abstractNum w:abstractNumId="3">
    <w:nsid w:val="E4152359"/>
    <w:multiLevelType w:val="singleLevel"/>
    <w:tmpl w:val="E4152359"/>
    <w:lvl w:ilvl="0" w:tentative="0">
      <w:start w:val="7"/>
      <w:numFmt w:val="chineseCounting"/>
      <w:suff w:val="space"/>
      <w:lvlText w:val="%1、"/>
      <w:lvlJc w:val="left"/>
      <w:rPr>
        <w:rFonts w:hint="eastAsia"/>
      </w:rPr>
    </w:lvl>
  </w:abstractNum>
  <w:abstractNum w:abstractNumId="4">
    <w:nsid w:val="1DBAAD66"/>
    <w:multiLevelType w:val="singleLevel"/>
    <w:tmpl w:val="1DBAAD66"/>
    <w:lvl w:ilvl="0" w:tentative="0">
      <w:start w:val="13"/>
      <w:numFmt w:val="chineseCounting"/>
      <w:suff w:val="nothing"/>
      <w:lvlText w:val="（%1）"/>
      <w:lvlJc w:val="left"/>
      <w:pPr>
        <w:ind w:left="0" w:firstLine="0"/>
      </w:pPr>
      <w:rPr>
        <w:rFonts w:hint="eastAsia"/>
      </w:rPr>
    </w:lvl>
  </w:abstractNum>
  <w:abstractNum w:abstractNumId="5">
    <w:nsid w:val="43E2796E"/>
    <w:multiLevelType w:val="multilevel"/>
    <w:tmpl w:val="43E2796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RjOTkxNDg0NmFjNjAwMDRkY2JiM2ZhNWFiZmYwMzMifQ=="/>
  </w:docVars>
  <w:rsids>
    <w:rsidRoot w:val="00034592"/>
    <w:rsid w:val="00034592"/>
    <w:rsid w:val="004168B1"/>
    <w:rsid w:val="004B5551"/>
    <w:rsid w:val="00B020D9"/>
    <w:rsid w:val="00EC42E5"/>
    <w:rsid w:val="07401456"/>
    <w:rsid w:val="0BD85F85"/>
    <w:rsid w:val="1656152B"/>
    <w:rsid w:val="23890781"/>
    <w:rsid w:val="279D3598"/>
    <w:rsid w:val="296658B6"/>
    <w:rsid w:val="2B6D775F"/>
    <w:rsid w:val="2C7763B3"/>
    <w:rsid w:val="2E8720D7"/>
    <w:rsid w:val="2E966E30"/>
    <w:rsid w:val="381B4404"/>
    <w:rsid w:val="3F065B5E"/>
    <w:rsid w:val="42053DB1"/>
    <w:rsid w:val="42E512D4"/>
    <w:rsid w:val="443A4B4B"/>
    <w:rsid w:val="445136FD"/>
    <w:rsid w:val="4480290B"/>
    <w:rsid w:val="44CB3DA9"/>
    <w:rsid w:val="489E2486"/>
    <w:rsid w:val="4DA44BEC"/>
    <w:rsid w:val="50573CEA"/>
    <w:rsid w:val="50A107F3"/>
    <w:rsid w:val="54C26763"/>
    <w:rsid w:val="57B85C9B"/>
    <w:rsid w:val="5EF446F3"/>
    <w:rsid w:val="63F959F0"/>
    <w:rsid w:val="658A571A"/>
    <w:rsid w:val="6BBC3631"/>
    <w:rsid w:val="6D6B6E29"/>
    <w:rsid w:val="722F2FAA"/>
    <w:rsid w:val="73BB0416"/>
    <w:rsid w:val="74463A57"/>
    <w:rsid w:val="75F4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Plain Text"/>
    <w:basedOn w:val="1"/>
    <w:uiPriority w:val="0"/>
    <w:rPr>
      <w:rFonts w:ascii="宋体" w:hAnsi="Courier New" w:cs="Courier New"/>
      <w:szCs w:val="21"/>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25</Pages>
  <Words>3832</Words>
  <Characters>4091</Characters>
  <Lines>34</Lines>
  <Paragraphs>9</Paragraphs>
  <TotalTime>7</TotalTime>
  <ScaleCrop>false</ScaleCrop>
  <LinksUpToDate>false</LinksUpToDate>
  <CharactersWithSpaces>4278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2022-05-20T02:23:00Z</dcterms:created>
  <dc:creator>lenovo</dc:creator>
  <cp:lastModifiedBy>Administrator</cp:lastModifiedBy>
  <cp:lastPrinted>2024-09-09T07:44:00Z</cp:lastPrinted>
  <dcterms:modified xsi:type="dcterms:W3CDTF">2024-09-23T06:39:45Z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97D0D5BCA2FF4A6CBD5543D35C04A45B</vt:lpwstr>
  </property>
</Properties>
</file>