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B6230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 w:val="0"/>
          <w:color w:val="auto"/>
          <w:sz w:val="48"/>
          <w:szCs w:val="48"/>
          <w:lang w:eastAsia="zh-CN"/>
        </w:rPr>
      </w:pPr>
    </w:p>
    <w:p w14:paraId="5225C90B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 w:val="0"/>
          <w:color w:val="auto"/>
          <w:sz w:val="48"/>
          <w:szCs w:val="48"/>
          <w:lang w:eastAsia="zh-CN"/>
        </w:rPr>
      </w:pPr>
    </w:p>
    <w:p w14:paraId="0D547D77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 w:val="0"/>
          <w:color w:val="auto"/>
          <w:sz w:val="48"/>
          <w:szCs w:val="48"/>
          <w:lang w:eastAsia="zh-CN"/>
        </w:rPr>
      </w:pPr>
    </w:p>
    <w:p w14:paraId="18421248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 w:val="0"/>
          <w:color w:val="auto"/>
          <w:sz w:val="48"/>
          <w:szCs w:val="48"/>
          <w:lang w:eastAsia="zh-CN"/>
        </w:rPr>
      </w:pPr>
      <w:r>
        <w:rPr>
          <w:rFonts w:hint="eastAsia" w:ascii="宋体" w:hAnsi="宋体"/>
          <w:b/>
          <w:bCs w:val="0"/>
          <w:color w:val="auto"/>
          <w:sz w:val="48"/>
          <w:szCs w:val="48"/>
          <w:lang w:eastAsia="zh-CN"/>
        </w:rPr>
        <w:t>龙安区人力资源和社会保障局</w:t>
      </w:r>
    </w:p>
    <w:p w14:paraId="6C6DF3CF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ascii="宋体" w:hAnsi="宋体"/>
          <w:b/>
          <w:sz w:val="48"/>
          <w:szCs w:val="48"/>
        </w:rPr>
        <w:t>20</w:t>
      </w:r>
      <w:r>
        <w:rPr>
          <w:rFonts w:hint="eastAsia" w:ascii="宋体" w:hAnsi="宋体"/>
          <w:b/>
          <w:sz w:val="48"/>
          <w:szCs w:val="48"/>
        </w:rPr>
        <w:t>2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>3</w:t>
      </w:r>
      <w:r>
        <w:rPr>
          <w:rFonts w:hint="eastAsia" w:ascii="宋体" w:hAnsi="宋体"/>
          <w:b/>
          <w:sz w:val="48"/>
          <w:szCs w:val="48"/>
        </w:rPr>
        <w:t>年度部门预算公开说明</w:t>
      </w:r>
    </w:p>
    <w:p w14:paraId="0E97AD2D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07D67C33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0CD6EA68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05627125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 w14:paraId="75C315DD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 w14:paraId="0B90BBA5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 w14:paraId="230E298F">
      <w:pPr>
        <w:adjustRightInd w:val="0"/>
        <w:snapToGrid w:val="0"/>
        <w:spacing w:line="360" w:lineRule="auto"/>
        <w:jc w:val="center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2023年7月15日</w:t>
      </w:r>
    </w:p>
    <w:p w14:paraId="6611AF34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4B5B7C72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18CC41CE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275057D2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44E46E10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10B97C10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71636BAD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2D679BB4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0D5717BF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31AEA530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36DE9D3C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5B063AF6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5A1F9573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484C6301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6DF5AE28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  录</w:t>
      </w:r>
    </w:p>
    <w:p w14:paraId="23A1E2CF"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ascii="黑体" w:hAnsi="Times New Roman" w:eastAsia="黑体" w:cs="黑体"/>
          <w:sz w:val="32"/>
          <w:szCs w:val="32"/>
        </w:rPr>
        <w:t xml:space="preserve">  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龙安区人力资源和社会保障局</w:t>
      </w:r>
      <w:r>
        <w:rPr>
          <w:rFonts w:hint="eastAsia" w:ascii="黑体" w:hAnsi="黑体" w:eastAsia="黑体"/>
          <w:sz w:val="32"/>
          <w:szCs w:val="32"/>
        </w:rPr>
        <w:t>部门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 w14:paraId="02CCA622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 w14:paraId="6565DDA3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二、部门预算单位构成</w:t>
      </w:r>
    </w:p>
    <w:p w14:paraId="1B9DA269"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ascii="黑体" w:hAnsi="Times New Roman" w:eastAsia="黑体" w:cs="黑体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龙安区人力资源和社会保障局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sz w:val="32"/>
          <w:szCs w:val="32"/>
        </w:rPr>
        <w:t>年度部门预算情况说明</w:t>
      </w:r>
    </w:p>
    <w:p w14:paraId="4E7DBBB2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一、部门收支总体情况说明</w:t>
      </w:r>
    </w:p>
    <w:p w14:paraId="06CF8E23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二、部门收入总体情况说明</w:t>
      </w:r>
    </w:p>
    <w:p w14:paraId="1B122D45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三、部门支出总体情况说明</w:t>
      </w:r>
    </w:p>
    <w:p w14:paraId="582E666B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四、财政拨款收支总体情况说明</w:t>
      </w:r>
    </w:p>
    <w:p w14:paraId="258A2BEC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五、一般公共预算支出情况说明</w:t>
      </w:r>
    </w:p>
    <w:p w14:paraId="4A4C1FA7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六、一般公共预算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Times New Roman" w:eastAsia="仿宋_GB2312" w:cs="仿宋_GB2312"/>
          <w:sz w:val="32"/>
          <w:szCs w:val="32"/>
        </w:rPr>
        <w:t>支出情况说明</w:t>
      </w:r>
    </w:p>
    <w:p w14:paraId="4BC841E8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七、一般公共预算“三公”经费支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出预算情况说明</w:t>
      </w:r>
    </w:p>
    <w:p w14:paraId="53686CFC"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八、政府性基金预算支出情况说明</w:t>
      </w:r>
    </w:p>
    <w:p w14:paraId="1731F796"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九、上年结转情况说明</w:t>
      </w:r>
    </w:p>
    <w:p w14:paraId="43BEE342"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、其他重要事项的情况说明</w:t>
      </w:r>
    </w:p>
    <w:p w14:paraId="167C1B79"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第三部分  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名词解释</w:t>
      </w:r>
    </w:p>
    <w:p w14:paraId="758DC421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Times New Roman" w:eastAsia="黑体" w:cs="黑体"/>
          <w:sz w:val="32"/>
          <w:szCs w:val="32"/>
        </w:rPr>
        <w:t>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sz w:val="32"/>
          <w:szCs w:val="32"/>
        </w:rPr>
        <w:t>年度部门预算表</w:t>
      </w:r>
    </w:p>
    <w:p w14:paraId="7089B991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3B48E5B6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24AF143A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7DCE609C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783F6F20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5C9BFFAF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" w:hAnsi="仿宋" w:eastAsia="仿宋" w:cs="仿宋"/>
          <w:sz w:val="30"/>
          <w:szCs w:val="30"/>
        </w:rPr>
        <w:t>一般公共预算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基本支出表</w:t>
      </w:r>
    </w:p>
    <w:p w14:paraId="0C89E08F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支出经济分类汇总表</w:t>
      </w:r>
    </w:p>
    <w:p w14:paraId="447EFA86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" w:hAnsi="仿宋" w:eastAsia="仿宋" w:cs="仿宋"/>
          <w:sz w:val="30"/>
          <w:szCs w:val="30"/>
        </w:rPr>
        <w:t>一般公共预算“三公”经费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3CDBCDEF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hint="eastAsia" w:ascii="仿宋" w:hAnsi="仿宋" w:eastAsia="仿宋" w:cs="仿宋"/>
          <w:sz w:val="30"/>
          <w:szCs w:val="30"/>
        </w:rPr>
        <w:t>政府性基金预算支出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411FF57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960" w:firstLineChars="300"/>
        <w:jc w:val="left"/>
        <w:textAlignment w:val="auto"/>
        <w:outlineLvl w:val="9"/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十、项目支出预算表</w:t>
      </w:r>
    </w:p>
    <w:p w14:paraId="525314F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960" w:firstLineChars="300"/>
        <w:jc w:val="left"/>
        <w:textAlignment w:val="auto"/>
        <w:outlineLvl w:val="9"/>
        <w:rPr>
          <w:rFonts w:hint="default" w:ascii="仿宋_GB2312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十一、部门预算表</w:t>
      </w:r>
    </w:p>
    <w:p w14:paraId="66904DD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960" w:firstLineChars="300"/>
        <w:jc w:val="left"/>
        <w:textAlignment w:val="auto"/>
        <w:outlineLvl w:val="9"/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十二、部门整体绩效目标表</w:t>
      </w:r>
    </w:p>
    <w:p w14:paraId="0EE671F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960" w:firstLineChars="300"/>
        <w:jc w:val="left"/>
        <w:textAlignment w:val="auto"/>
        <w:outlineLvl w:val="9"/>
        <w:rPr>
          <w:rFonts w:hint="default" w:ascii="仿宋_GB2312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十三、部门预算项目绩效目标表</w:t>
      </w:r>
    </w:p>
    <w:p w14:paraId="0739EB93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5572C3C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767D806D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5FFD03FD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40D31938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57DEE4CA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74462536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17FCAAC2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32295691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316DFE1B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6291D69C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第一部分</w:t>
      </w:r>
    </w:p>
    <w:p w14:paraId="131E066D"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宋体" w:hAnsi="宋体"/>
          <w:b/>
          <w:bCs w:val="0"/>
          <w:color w:val="auto"/>
          <w:sz w:val="36"/>
          <w:szCs w:val="36"/>
          <w:lang w:eastAsia="zh-CN"/>
        </w:rPr>
        <w:t>龙安区人力资源和社会保障局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概况</w:t>
      </w:r>
    </w:p>
    <w:p w14:paraId="3E5D31A0"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72743D2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龙安区</w:t>
      </w:r>
      <w:r>
        <w:rPr>
          <w:rFonts w:hint="eastAsia" w:ascii="黑体" w:hAnsi="黑体" w:eastAsia="黑体"/>
          <w:sz w:val="32"/>
          <w:szCs w:val="32"/>
          <w:lang w:eastAsia="zh-CN"/>
        </w:rPr>
        <w:t>人力资源和社会保障</w:t>
      </w:r>
      <w:r>
        <w:rPr>
          <w:rFonts w:hint="eastAsia" w:ascii="黑体" w:hAnsi="黑体" w:eastAsia="黑体"/>
          <w:sz w:val="32"/>
          <w:szCs w:val="32"/>
        </w:rPr>
        <w:t>局</w:t>
      </w:r>
      <w:r>
        <w:rPr>
          <w:rFonts w:hint="eastAsia" w:ascii="宋体" w:hAnsi="宋体"/>
          <w:b/>
          <w:bCs/>
          <w:sz w:val="32"/>
          <w:szCs w:val="32"/>
        </w:rPr>
        <w:t>主要职责</w:t>
      </w:r>
    </w:p>
    <w:p w14:paraId="68C89D17">
      <w:pPr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局</w:t>
      </w:r>
      <w:r>
        <w:rPr>
          <w:rFonts w:hint="eastAsia" w:ascii="仿宋" w:hAnsi="仿宋" w:eastAsia="仿宋" w:cs="仿宋"/>
          <w:color w:val="484747"/>
          <w:sz w:val="32"/>
          <w:szCs w:val="32"/>
        </w:rPr>
        <w:t>在区委、区政府的正确领导和市局各部门的精心指导下，紧紧围绕年度工作目标，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主动创新社会保障新思路，大胆探索优化服务新举措，全面贯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彻落实人力资源社会保障各项法律法规，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强化岗位责任制和绩效目标管理，狠抓工作落实，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实现了工作新突破，确保了各项工作任务扎实推进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6CA31429">
      <w:pPr>
        <w:ind w:firstLine="645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b/>
          <w:color w:val="00000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机构人员情况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：行政事业编制共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115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名。其中行政编制4名，事业编制111名，在职人员9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人,退休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人。</w:t>
      </w:r>
    </w:p>
    <w:p w14:paraId="49B5D650">
      <w:pPr>
        <w:numPr>
          <w:ilvl w:val="0"/>
          <w:numId w:val="0"/>
        </w:numPr>
        <w:adjustRightInd w:val="0"/>
        <w:snapToGrid w:val="0"/>
        <w:spacing w:line="360" w:lineRule="auto"/>
        <w:ind w:left="640" w:leftChars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仿宋_GB2312" w:hAnsi="仿宋_GB2312" w:cs="仿宋_GB2312"/>
          <w:b/>
          <w:color w:val="00000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年度主要任务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全区发展的总目标，坚持“民生为本、人才优先”工作主线，不断引深人力资源和社会保障各项工作，努力实现创业者有平台、就业者有岗位，社会保障水平稳步提高，城乡居民持续增收，人才队伍不断优化，劳动关系更加和谐的工作目标，全力创优全区发展社会环境，助推全区经济又好又快发展。</w:t>
      </w:r>
    </w:p>
    <w:p w14:paraId="7F10F6D7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二、龙安区</w:t>
      </w:r>
      <w:r>
        <w:rPr>
          <w:rFonts w:hint="eastAsia" w:ascii="黑体" w:hAnsi="黑体" w:eastAsia="黑体"/>
          <w:sz w:val="32"/>
          <w:szCs w:val="32"/>
          <w:lang w:eastAsia="zh-CN"/>
        </w:rPr>
        <w:t>人力资源和社会保障</w:t>
      </w:r>
      <w:r>
        <w:rPr>
          <w:rFonts w:hint="eastAsia" w:ascii="黑体" w:hAnsi="黑体" w:eastAsia="黑体"/>
          <w:sz w:val="32"/>
          <w:szCs w:val="32"/>
        </w:rPr>
        <w:t>局</w:t>
      </w:r>
      <w:r>
        <w:rPr>
          <w:rFonts w:hint="eastAsia" w:ascii="宋体" w:hAnsi="宋体"/>
          <w:b/>
          <w:bCs/>
          <w:sz w:val="32"/>
          <w:szCs w:val="32"/>
        </w:rPr>
        <w:t>预</w:t>
      </w:r>
      <w:r>
        <w:rPr>
          <w:rFonts w:hint="eastAsia" w:ascii="宋体" w:hAnsi="宋体"/>
          <w:b/>
          <w:sz w:val="32"/>
          <w:szCs w:val="32"/>
        </w:rPr>
        <w:t>算单位构成</w:t>
      </w:r>
    </w:p>
    <w:p w14:paraId="5F5C0AF3">
      <w:pPr>
        <w:widowControl/>
        <w:spacing w:line="240" w:lineRule="atLeas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本部门预算包括机关本级预算和下级所属单位预算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内设机构4个，包括：办公室（行政审批服务股）、人事管理办公室、劳动与就业促进工作办公室（社会保障管理办公室）、工资福利办公室。</w:t>
      </w:r>
    </w:p>
    <w:p w14:paraId="485D44BA">
      <w:pPr>
        <w:pStyle w:val="3"/>
        <w:spacing w:line="360" w:lineRule="auto"/>
        <w:ind w:firstLine="6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部门</w:t>
      </w:r>
      <w:r>
        <w:rPr>
          <w:rFonts w:hint="eastAsia" w:ascii="仿宋_GB2312" w:hAnsi="宋体" w:eastAsia="仿宋_GB2312" w:cs="宋体"/>
          <w:sz w:val="32"/>
          <w:szCs w:val="32"/>
        </w:rPr>
        <w:t>预算为汇总预算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有二级机构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个</w:t>
      </w:r>
      <w:r>
        <w:rPr>
          <w:rFonts w:hint="eastAsia" w:ascii="仿宋_GB2312" w:hAnsi="宋体" w:eastAsia="仿宋_GB2312" w:cs="宋体"/>
          <w:sz w:val="32"/>
          <w:szCs w:val="32"/>
        </w:rPr>
        <w:t>。纳入202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年度部门预算编报范围的预算单位如下：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</w:p>
    <w:p w14:paraId="77D9DC1E">
      <w:pPr>
        <w:pStyle w:val="3"/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局机关本级</w:t>
      </w:r>
    </w:p>
    <w:p w14:paraId="203A6090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firstLine="477" w:firstLineChars="150"/>
        <w:textAlignment w:val="auto"/>
        <w:rPr>
          <w:rFonts w:hint="eastAsia" w:ascii="仿宋" w:hAnsi="仿宋" w:eastAsia="仿宋" w:cs="Courier New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安阳市龙安区人才开发服务中心</w:t>
      </w:r>
      <w:r>
        <w:rPr>
          <w:rFonts w:hint="eastAsia" w:ascii="仿宋" w:hAnsi="仿宋" w:eastAsia="仿宋" w:cs="Courier New"/>
          <w:color w:val="auto"/>
          <w:kern w:val="0"/>
          <w:sz w:val="32"/>
          <w:szCs w:val="32"/>
          <w:lang w:eastAsia="zh-CN"/>
        </w:rPr>
        <w:t>（本单位财务未单独核算）</w:t>
      </w:r>
    </w:p>
    <w:p w14:paraId="332B9314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安阳市龙安区机关事业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社会保障中心</w:t>
      </w:r>
      <w:r>
        <w:rPr>
          <w:rFonts w:hint="eastAsia" w:ascii="仿宋" w:hAnsi="仿宋" w:eastAsia="仿宋" w:cs="Courier New"/>
          <w:color w:val="auto"/>
          <w:kern w:val="0"/>
          <w:sz w:val="32"/>
          <w:szCs w:val="32"/>
          <w:lang w:eastAsia="zh-CN"/>
        </w:rPr>
        <w:t>（本单位财务未单独核算）</w:t>
      </w:r>
    </w:p>
    <w:p w14:paraId="765D4DD7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" w:hAnsi="仿宋" w:eastAsia="仿宋" w:cs="Courier New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安阳市龙安区农民工服务中心</w:t>
      </w:r>
      <w:r>
        <w:rPr>
          <w:rFonts w:hint="eastAsia" w:ascii="仿宋" w:hAnsi="仿宋" w:eastAsia="仿宋" w:cs="Courier New"/>
          <w:color w:val="auto"/>
          <w:kern w:val="0"/>
          <w:sz w:val="32"/>
          <w:szCs w:val="32"/>
          <w:lang w:eastAsia="zh-CN"/>
        </w:rPr>
        <w:t>（本单位财务未单独核算）</w:t>
      </w:r>
    </w:p>
    <w:p w14:paraId="7430E4DC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安阳市龙安区就业创业服务中心</w:t>
      </w:r>
      <w:r>
        <w:rPr>
          <w:rFonts w:hint="eastAsia" w:ascii="仿宋" w:hAnsi="仿宋" w:eastAsia="仿宋" w:cs="Courier New"/>
          <w:color w:val="auto"/>
          <w:kern w:val="0"/>
          <w:sz w:val="32"/>
          <w:szCs w:val="32"/>
          <w:lang w:eastAsia="zh-CN"/>
        </w:rPr>
        <w:t>（本单位财务未单独核算）</w:t>
      </w:r>
    </w:p>
    <w:p w14:paraId="1F0D5403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" w:hAnsi="仿宋" w:eastAsia="仿宋" w:cs="Courier New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安阳市龙安区城乡居民社会养老保险中心</w:t>
      </w:r>
      <w:r>
        <w:rPr>
          <w:rFonts w:hint="eastAsia" w:ascii="仿宋" w:hAnsi="仿宋" w:eastAsia="仿宋" w:cs="Courier New"/>
          <w:color w:val="auto"/>
          <w:kern w:val="0"/>
          <w:sz w:val="32"/>
          <w:szCs w:val="32"/>
          <w:lang w:eastAsia="zh-CN"/>
        </w:rPr>
        <w:t>（本单位财务未单独核算）</w:t>
      </w:r>
    </w:p>
    <w:p w14:paraId="71B8CB2F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" w:hAnsi="仿宋" w:eastAsia="仿宋" w:cs="Courier New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安阳市龙安区劳动人事争议仲裁院</w:t>
      </w:r>
      <w:r>
        <w:rPr>
          <w:rFonts w:hint="eastAsia" w:ascii="仿宋" w:hAnsi="仿宋" w:eastAsia="仿宋" w:cs="Courier New"/>
          <w:color w:val="auto"/>
          <w:kern w:val="0"/>
          <w:sz w:val="32"/>
          <w:szCs w:val="32"/>
          <w:lang w:eastAsia="zh-CN"/>
        </w:rPr>
        <w:t>（本单位财务未单独核算）</w:t>
      </w:r>
    </w:p>
    <w:p w14:paraId="467FDC11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安阳市龙安区劳动保障监察大队</w:t>
      </w:r>
      <w:r>
        <w:rPr>
          <w:rFonts w:hint="eastAsia" w:ascii="仿宋" w:hAnsi="仿宋" w:eastAsia="仿宋" w:cs="Courier New"/>
          <w:color w:val="auto"/>
          <w:kern w:val="0"/>
          <w:sz w:val="32"/>
          <w:szCs w:val="32"/>
          <w:lang w:eastAsia="zh-CN"/>
        </w:rPr>
        <w:t>（本单位财务未单独核算）</w:t>
      </w:r>
    </w:p>
    <w:p w14:paraId="788F7953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" w:hAnsi="仿宋" w:eastAsia="仿宋" w:cs="Courier New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安阳市龙安区失业保险中心</w:t>
      </w:r>
      <w:r>
        <w:rPr>
          <w:rFonts w:hint="eastAsia" w:ascii="仿宋" w:hAnsi="仿宋" w:eastAsia="仿宋" w:cs="Courier New"/>
          <w:color w:val="auto"/>
          <w:kern w:val="0"/>
          <w:sz w:val="32"/>
          <w:szCs w:val="32"/>
          <w:lang w:eastAsia="zh-CN"/>
        </w:rPr>
        <w:t>（本单位财务未单独核算）</w:t>
      </w:r>
    </w:p>
    <w:p w14:paraId="480E2EDD">
      <w:pPr>
        <w:ind w:firstLine="645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C61D25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088FC205">
      <w:pPr>
        <w:adjustRightInd w:val="0"/>
        <w:snapToGrid w:val="0"/>
        <w:spacing w:line="360" w:lineRule="auto"/>
        <w:jc w:val="both"/>
        <w:rPr>
          <w:rFonts w:ascii="黑体" w:hAnsi="Times New Roman" w:eastAsia="黑体" w:cs="黑体"/>
          <w:sz w:val="32"/>
          <w:szCs w:val="32"/>
        </w:rPr>
      </w:pPr>
    </w:p>
    <w:p w14:paraId="10BDA45E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13CF86FC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3DC974C4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61A723AA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18268EFB">
      <w:pPr>
        <w:adjustRightInd w:val="0"/>
        <w:snapToGrid w:val="0"/>
        <w:spacing w:line="360" w:lineRule="auto"/>
        <w:jc w:val="center"/>
        <w:rPr>
          <w:rFonts w:ascii="宋体" w:hAnsi="宋体" w:cs="黑体"/>
          <w:b/>
          <w:spacing w:val="-38"/>
          <w:sz w:val="40"/>
          <w:szCs w:val="32"/>
        </w:rPr>
      </w:pPr>
      <w:r>
        <w:rPr>
          <w:rFonts w:hint="eastAsia" w:ascii="宋体" w:hAnsi="宋体" w:cs="黑体"/>
          <w:b/>
          <w:sz w:val="40"/>
          <w:szCs w:val="32"/>
        </w:rPr>
        <w:t>第二部分</w:t>
      </w:r>
    </w:p>
    <w:p w14:paraId="60F379AC">
      <w:pPr>
        <w:adjustRightInd w:val="0"/>
        <w:snapToGrid w:val="0"/>
        <w:spacing w:line="360" w:lineRule="auto"/>
        <w:jc w:val="center"/>
        <w:rPr>
          <w:rFonts w:hint="eastAsia" w:ascii="黑体" w:hAnsi="Times New Roman" w:eastAsia="黑体" w:cs="黑体"/>
          <w:b/>
          <w:bCs/>
          <w:sz w:val="40"/>
          <w:szCs w:val="32"/>
          <w:lang w:eastAsia="zh-CN"/>
        </w:rPr>
      </w:pPr>
      <w:r>
        <w:rPr>
          <w:rFonts w:hint="eastAsia" w:ascii="黑体" w:hAnsi="Times New Roman" w:eastAsia="黑体" w:cs="黑体"/>
          <w:b/>
          <w:bCs/>
          <w:sz w:val="40"/>
          <w:szCs w:val="32"/>
          <w:lang w:eastAsia="zh-CN"/>
        </w:rPr>
        <w:t>龙安区人力资源和社会保障局</w:t>
      </w:r>
    </w:p>
    <w:p w14:paraId="41EF5C94"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sz w:val="40"/>
          <w:szCs w:val="32"/>
        </w:rPr>
      </w:pPr>
      <w:r>
        <w:rPr>
          <w:rFonts w:ascii="黑体" w:hAnsi="Times New Roman" w:eastAsia="黑体" w:cs="黑体"/>
          <w:b/>
          <w:bCs/>
          <w:sz w:val="40"/>
          <w:szCs w:val="32"/>
        </w:rPr>
        <w:t>20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2</w:t>
      </w:r>
      <w:r>
        <w:rPr>
          <w:rFonts w:hint="eastAsia" w:ascii="黑体" w:hAnsi="Times New Roman" w:eastAsia="黑体" w:cs="黑体"/>
          <w:b/>
          <w:bCs/>
          <w:sz w:val="40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年度部门预算情况说明</w:t>
      </w:r>
    </w:p>
    <w:p w14:paraId="66630B58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 w14:paraId="23DE7D3A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一、部门收支总体情况说明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</w:t>
      </w:r>
    </w:p>
    <w:p w14:paraId="14A36F4E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龙安区人力资源和社会保障局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年收入总计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2700.34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万元，支出总计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2700.34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万元，与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年相比，收支总计各增加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473.62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万元，增长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21.27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。主要原因：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项目增加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。</w:t>
      </w:r>
    </w:p>
    <w:p w14:paraId="100B7AB9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二、部门收入总体情况说明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</w:t>
      </w:r>
    </w:p>
    <w:p w14:paraId="3D7165E2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龙安区人力资源和社会保障局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年收入合计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2700.34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</w:rPr>
        <w:t>其中：一般公共预算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2700.34</w:t>
      </w:r>
      <w:r>
        <w:rPr>
          <w:rFonts w:hint="eastAsia" w:ascii="仿宋_GB2312" w:eastAsia="仿宋_GB2312"/>
          <w:color w:val="auto"/>
          <w:sz w:val="32"/>
          <w:szCs w:val="32"/>
        </w:rPr>
        <w:t>万元</w:t>
      </w:r>
      <w:r>
        <w:rPr>
          <w:rFonts w:ascii="仿宋_GB2312" w:eastAsia="仿宋_GB2312"/>
          <w:color w:val="auto"/>
          <w:sz w:val="32"/>
          <w:szCs w:val="32"/>
        </w:rPr>
        <w:t>;</w:t>
      </w:r>
      <w:r>
        <w:rPr>
          <w:rFonts w:ascii="仿宋_GB2312" w:hAnsi="Times New Roman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政府性基金收入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万元；专户管理的教育收费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万元；国有资本经营预算收入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万元；事业收入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万元；经营收入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万元；其他收入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万元。</w:t>
      </w:r>
    </w:p>
    <w:p w14:paraId="0683721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三、部门支出总体情况说明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    </w:t>
      </w:r>
    </w:p>
    <w:p w14:paraId="72C1DD72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龙安区人力资源和社会保障局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年支出合计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2700.34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万元，其中：基本支出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1437.62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53.24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；项目支出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1262.72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46.76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</w:t>
      </w:r>
    </w:p>
    <w:p w14:paraId="3F3BACAC"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四、财政拨款收支总体情况说明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</w:t>
      </w:r>
    </w:p>
    <w:p w14:paraId="719F28A6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龙安区人力资源和社会保障局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年一般公共预算收支预算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2700.34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万元，政府性基金收支预算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万元。与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年相比，一般公共预算收支预算增加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473.62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万元，增长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21.27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，主要原因：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项目增加，专项经费增加。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政府性基金收支预算增加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万元，增长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0.00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。主要原因：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  <w:lang w:eastAsia="zh-CN"/>
        </w:rPr>
        <w:t>无此项目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</w:rPr>
        <w:t>。</w:t>
      </w:r>
    </w:p>
    <w:p w14:paraId="4D939C5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</w:t>
      </w:r>
    </w:p>
    <w:p w14:paraId="52787F6F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一般公共预算支出年初预算为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2700.34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万元，其中：基本支出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1437.62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53.24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；项目支出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1262.72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46.76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</w:t>
      </w:r>
    </w:p>
    <w:p w14:paraId="440F797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六、</w:t>
      </w:r>
      <w:r>
        <w:rPr>
          <w:rFonts w:hint="eastAsia" w:ascii="黑体" w:hAnsi="黑体" w:eastAsia="黑体"/>
          <w:sz w:val="32"/>
          <w:szCs w:val="32"/>
        </w:rPr>
        <w:t>一般公共预算</w:t>
      </w:r>
      <w:r>
        <w:rPr>
          <w:rFonts w:hint="eastAsia" w:ascii="黑体" w:hAnsi="黑体" w:eastAsia="黑体"/>
          <w:sz w:val="32"/>
          <w:szCs w:val="32"/>
          <w:lang w:eastAsia="zh-CN"/>
        </w:rPr>
        <w:t>基本</w:t>
      </w:r>
      <w:r>
        <w:rPr>
          <w:rFonts w:hint="eastAsia" w:ascii="黑体" w:hAnsi="黑体" w:eastAsia="黑体"/>
          <w:sz w:val="32"/>
          <w:szCs w:val="32"/>
        </w:rPr>
        <w:t>支出情况说明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</w:t>
      </w:r>
    </w:p>
    <w:p w14:paraId="3B1AD043">
      <w:pPr>
        <w:spacing w:line="560" w:lineRule="exact"/>
        <w:ind w:firstLine="640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龙安区人力资源和社会保障局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一般公共预算基本支出年初预算为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1437.62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万元，其中：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人员经费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1234.62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85.88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；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公用经费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203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14.12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</w:t>
      </w:r>
    </w:p>
    <w:p w14:paraId="502556FB"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一般公共预算“三公”经费支出情况说明</w:t>
      </w:r>
    </w:p>
    <w:p w14:paraId="01C1755B"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我部门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年“三公”经费预算为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万元。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年“三公”经费支出预算数比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年减少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万元。</w:t>
      </w:r>
    </w:p>
    <w:p w14:paraId="48B30FAC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具体支出情况如下：</w:t>
      </w:r>
    </w:p>
    <w:p w14:paraId="6A414E2E"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9" w:firstLineChars="200"/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auto"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color w:val="auto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主要用于单位工作人员公务出国（境）的住宿费、旅费、伙食补助费、杂费、培训费等支出。因公出国（境）费预算数与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年相比，减少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万元。主要原因：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  <w:lang w:eastAsia="zh-CN"/>
        </w:rPr>
        <w:t>无此支出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</w:rPr>
        <w:t>。</w:t>
      </w:r>
    </w:p>
    <w:p w14:paraId="69013CF2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9" w:firstLineChars="200"/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color w:val="auto"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元，其中，公务用车购置费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万元；公务用车运行维护费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万元，主要用于开展工作所需公务用车的燃料费、维修费、过路过桥费、保险费、安全奖励费用等支出。公务用车购置费预算数与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年相比减少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主要原因：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</w:rPr>
        <w:t>压缩开支。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公务用车运行维护费预算数比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</w:t>
      </w:r>
      <w:bookmarkStart w:id="0" w:name="OLE_LINK1"/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减少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</w:t>
      </w:r>
      <w:bookmarkEnd w:id="0"/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主要原因：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</w:rPr>
        <w:t>压缩开支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  <w:lang w:eastAsia="zh-CN"/>
        </w:rPr>
        <w:t>。</w:t>
      </w:r>
    </w:p>
    <w:p w14:paraId="5BFDEF7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auto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万元，主要用于按规定开支的各类公务接待（含外宾接待）支出。公务接待费预算数比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年减少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万元。主要原因：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</w:rPr>
        <w:t>压缩开支。</w:t>
      </w:r>
    </w:p>
    <w:p w14:paraId="76E4DAE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八、政府性基金预算支出情况说明</w:t>
      </w:r>
    </w:p>
    <w:p w14:paraId="0F35CD15">
      <w:pPr>
        <w:spacing w:line="560" w:lineRule="exact"/>
        <w:ind w:firstLine="640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我部门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2023年没有使用政府性基金预算拨款安排的支出</w:t>
      </w: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。</w:t>
      </w:r>
    </w:p>
    <w:p w14:paraId="4B38388D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hint="eastAsia" w:ascii="黑体" w:hAnsi="Times New Roman" w:eastAsia="黑体" w:cs="黑体"/>
          <w:spacing w:val="-1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  <w:highlight w:val="none"/>
          <w:lang w:eastAsia="zh-CN"/>
        </w:rPr>
        <w:t>上年结转情况说明</w:t>
      </w:r>
    </w:p>
    <w:p w14:paraId="279EBC20"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4"/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</w:rPr>
        <w:t>部门2023年上年结转资金为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，其中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一般公共预算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；政府性基金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0.00</w:t>
      </w:r>
      <w:bookmarkStart w:id="1" w:name="_GoBack"/>
      <w:bookmarkEnd w:id="1"/>
      <w:r>
        <w:rPr>
          <w:rFonts w:ascii="仿宋_GB2312" w:hAnsi="宋体" w:eastAsia="仿宋_GB2312" w:cs="Courier New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。</w:t>
      </w:r>
    </w:p>
    <w:p w14:paraId="32A4105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  <w:highlight w:val="none"/>
          <w:lang w:eastAsia="zh-CN"/>
        </w:rPr>
        <w:t>十</w:t>
      </w: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  <w:highlight w:val="none"/>
        </w:rPr>
        <w:t>、其他重要事项的情况说明</w:t>
      </w:r>
    </w:p>
    <w:p w14:paraId="1E819F5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（一）机关运行经费支出情况</w:t>
      </w:r>
    </w:p>
    <w:p w14:paraId="7DBDA74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年机关运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行经费支出预算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203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主要保障机构正常运行</w:t>
      </w:r>
      <w:r>
        <w:rPr>
          <w:rFonts w:hint="eastAsia" w:ascii="仿宋_GB2312" w:eastAsia="仿宋_GB2312"/>
          <w:sz w:val="32"/>
          <w:szCs w:val="32"/>
          <w:lang w:eastAsia="zh-CN"/>
        </w:rPr>
        <w:t>及正常履职需要所需支出，包括公用经费、公务交通补贴、工会经费、职工福利等。</w:t>
      </w:r>
    </w:p>
    <w:p w14:paraId="2AC3CD1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 w14:paraId="72D7E94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仿宋_GB2312"/>
          <w:b/>
          <w:kern w:val="0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年政府采购预算安排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13.6</w:t>
      </w:r>
      <w:r>
        <w:rPr>
          <w:rFonts w:hint="eastAsia" w:ascii="仿宋_GB2312" w:eastAsia="仿宋_GB2312"/>
          <w:color w:val="auto"/>
          <w:sz w:val="32"/>
          <w:szCs w:val="32"/>
        </w:rPr>
        <w:t>万元，其中：政府采购货物预算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13.6</w:t>
      </w:r>
      <w:r>
        <w:rPr>
          <w:rFonts w:hint="eastAsia" w:ascii="仿宋_GB2312" w:eastAsia="仿宋_GB2312"/>
          <w:color w:val="auto"/>
          <w:sz w:val="32"/>
          <w:szCs w:val="32"/>
        </w:rPr>
        <w:t>万元、政府采购工程预算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万元、政府采购服务预算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万元。</w:t>
      </w:r>
    </w:p>
    <w:p w14:paraId="084DA30E">
      <w:pPr>
        <w:kinsoku w:val="0"/>
        <w:overflowPunct w:val="0"/>
        <w:adjustRightInd w:val="0"/>
        <w:snapToGrid w:val="0"/>
        <w:spacing w:line="360" w:lineRule="auto"/>
        <w:ind w:firstLine="482" w:firstLineChars="150"/>
        <w:jc w:val="left"/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</w:t>
      </w:r>
      <w:r>
        <w:rPr>
          <w:rFonts w:hint="eastAsia" w:ascii="仿宋_GB2312" w:hAnsi="Times New Roman" w:eastAsia="仿宋_GB2312" w:cs="仿宋_GB2312"/>
          <w:b/>
          <w:sz w:val="32"/>
          <w:szCs w:val="32"/>
        </w:rPr>
        <w:t>绩效目标</w:t>
      </w:r>
      <w:r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  <w:t>设置情况</w:t>
      </w:r>
    </w:p>
    <w:p w14:paraId="35000F1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hint="eastAsia" w:ascii="仿宋_GB2312" w:hAnsi="宋体" w:eastAsia="仿宋_GB2312" w:cs="Courier New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2023年预算项目分别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从项目产出、项目效益、项目满意度等方面设立了绩效目标，综合反映了预算的数量、质量，社会经济效益、可持续影响及服务对象满意度等情况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A14317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hint="eastAsia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1、2023年临时用工岗位补贴和商业保险补贴292.46万元</w:t>
      </w:r>
    </w:p>
    <w:p w14:paraId="52995C83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hint="eastAsia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龙安区“三支一扶”生活补贴及保险40万元</w:t>
      </w:r>
    </w:p>
    <w:p w14:paraId="5D929763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hint="default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2023年“人人持证技能河南”专项资金300万元</w:t>
      </w:r>
    </w:p>
    <w:p w14:paraId="5F05EC52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hint="default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城乡居民社会养老保险协管员区级补助17.9万元</w:t>
      </w:r>
    </w:p>
    <w:p w14:paraId="43813FF0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hint="default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2023年社区人社协管员报酬津贴提高部分12万元</w:t>
      </w:r>
    </w:p>
    <w:p w14:paraId="73F1184B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hint="default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2022年结转资金27.76万元</w:t>
      </w:r>
    </w:p>
    <w:p w14:paraId="53A66EC7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hint="default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龙安区事业单位公开招聘150万元</w:t>
      </w:r>
    </w:p>
    <w:p w14:paraId="4BE03AB7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hint="default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2023年AK替代设备购置经费13.6万元</w:t>
      </w:r>
    </w:p>
    <w:p w14:paraId="0B1E5993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hint="default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洹泉涌流配套资金230万元 </w:t>
      </w:r>
    </w:p>
    <w:p w14:paraId="2C64E2C4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hint="default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2023年区级配套就业补助资金179万元 </w:t>
      </w:r>
    </w:p>
    <w:p w14:paraId="6D48C9A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Courier New"/>
          <w:b/>
          <w:bCs/>
          <w:color w:val="auto"/>
          <w:sz w:val="32"/>
          <w:szCs w:val="32"/>
          <w:highlight w:val="none"/>
          <w:lang w:val="en-US" w:eastAsia="zh-CN"/>
        </w:rPr>
        <w:t>关于重点项目预算的绩效目标情况叙述</w:t>
      </w:r>
      <w:r>
        <w:rPr>
          <w:rFonts w:hint="eastAsia" w:ascii="仿宋_GB2312" w:hAnsi="宋体" w:eastAsia="仿宋_GB2312" w:cs="Courier New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2023年区级配套就业补助资金179万元 ，</w:t>
      </w: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就业补助专项资金依据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中华人民共和国就业促进法》设立。《中华人民共和国就业促进法》第十五条规定：国家实行有利于促进就业的财政政策，加大资金投入，改善就业环境，扩大就业。县级以上人民政府根据就业状况和就业工作目标，在财政预算中安排就业专项资金用于促进就业工作。为了做好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龙安区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就业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创业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服务工作，鼓励自主就业创业等多种形式，创造促进就业的良好环境，促进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我区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经济社会的发展。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设立了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就业补助资金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项目，对农民工转移就业、公益性岗位、贫困劳动力培训、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灵活就业人员社保补贴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等方面进行补助，促进公共就业服务能力建设，改善就业环境，扩大就业规模，促进就业创业。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2023年区级配套就业补助资金179万元主要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执行于公益性岗位补贴支出。</w:t>
      </w:r>
    </w:p>
    <w:p w14:paraId="3FDF965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（四）国有资产占用情况。</w:t>
      </w:r>
    </w:p>
    <w:p w14:paraId="784AB5F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ascii="仿宋_GB2312" w:hAnsi="宋体" w:eastAsia="仿宋_GB2312" w:cs="Courier New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年末，我部门共有车辆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辆，其中：一般公务用车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辆、一般执法执勤用车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辆、特种专业技术用车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辆，其他用车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辆；单价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50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万元以上通用设备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台（套），单位价值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100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万元以上专用设备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台（套）。</w:t>
      </w:r>
    </w:p>
    <w:p w14:paraId="5921886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 w14:paraId="403933F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我部门负责管理的专项转移支付项目共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有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Courier New"/>
          <w:sz w:val="32"/>
          <w:szCs w:val="32"/>
        </w:rPr>
        <w:t>项，主要是：“三支一扶”中央补助资金项目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60.05</w:t>
      </w:r>
      <w:r>
        <w:rPr>
          <w:rFonts w:hint="eastAsia" w:ascii="仿宋_GB2312" w:hAnsi="宋体" w:eastAsia="仿宋_GB2312" w:cs="Courier New"/>
          <w:sz w:val="32"/>
          <w:szCs w:val="32"/>
        </w:rPr>
        <w:t>万元；我部门将按照《预算法》等有关规定，积极做好项目分配前期准备工作，在规定的时间内向财政部门提出资金分配意见，根据有关要求做好项目申报公开等相关工作。</w:t>
      </w:r>
    </w:p>
    <w:p w14:paraId="6492D8D3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名词解释</w:t>
      </w:r>
    </w:p>
    <w:p w14:paraId="0EB80001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 w14:paraId="61B7281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一、财政拨款收入：是指同级财政当年拨付的资金。</w:t>
      </w:r>
    </w:p>
    <w:p w14:paraId="18E253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 w14:paraId="3646EE2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三、其他收入：是指部门取得的除“财政拨款”、“事业收入”、“事业单位经营收入”等以外的收入。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</w:p>
    <w:p w14:paraId="6DD36CE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660C209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支差额的基金）弥补当年收支缺口的资金。</w:t>
      </w:r>
    </w:p>
    <w:p w14:paraId="4AB4319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Courier New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 w14:paraId="43C5AB7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Courier New"/>
          <w:sz w:val="32"/>
          <w:szCs w:val="32"/>
        </w:rPr>
        <w:t>、项目支出：是指在基本支出之外，为完成特定的行政工作任务或事业发展目标所发生的支出。</w:t>
      </w:r>
    </w:p>
    <w:p w14:paraId="00F6DF5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Courier New"/>
          <w:sz w:val="32"/>
          <w:szCs w:val="32"/>
        </w:rPr>
        <w:t>、“三公”经费：是指纳入同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14:paraId="6B51BCF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562B015D">
      <w:pPr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 w14:paraId="3CD5348B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80E827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5DCE05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6182995" cy="6994525"/>
            <wp:effectExtent l="0" t="0" r="825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699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1F903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7089AD8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474F761A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468CDC58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91FCF54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DFD2649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67EDA160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6D594CF3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B991474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</w:rPr>
      </w:pPr>
    </w:p>
    <w:p w14:paraId="3BE371F7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6177915" cy="906780"/>
            <wp:effectExtent l="0" t="0" r="1333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791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7720D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F49ECF0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A2A6178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469B0647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2DDF27D7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7997499B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34B9A52B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1033769C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4BCB8E8F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74E42031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2ECD02F2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1E31859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33D220E5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21DE973A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7F394067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B743B88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296CD6A3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48B87E78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48850A1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3A59C8A3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1109FD4E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619C273A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2962359D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25E44A83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6BA03D8C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7E91B355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668FFE7A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79E944E1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7743365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7D3B06F9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ABF3889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6187440" cy="1865630"/>
            <wp:effectExtent l="0" t="0" r="381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69FB3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295ED4D9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65BB13FF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20C14A6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74ACA640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2AEE12B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669E368E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4777D3AD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20F3753B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3988B1E5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389ECFBF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95157E3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488F2E26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BC6AA19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18AB2FFF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313C970C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1CA7F926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3EA38AE3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4A5784C0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EC0A701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6E51FA93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401082EA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1B95B0A9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458C9DA5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46C63105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3C2E408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167CF591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01DA0D6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5ADF207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6E370AE2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2CF716A3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6184265" cy="8154035"/>
            <wp:effectExtent l="0" t="0" r="698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815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70B26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6187440" cy="198120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B7D6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1B3581CE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1BF437A7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20723D58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3FDCDC11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0815FAA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79E72002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6CFCECB5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424D013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1553EF02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46882D8A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</w:rPr>
      </w:pPr>
    </w:p>
    <w:p w14:paraId="492EB4AA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0C2C1E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3F5ED9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658EF2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7DA991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814216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173D12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66A923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2BEA7D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AD0838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6050A8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B1B91D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6186170" cy="2811145"/>
            <wp:effectExtent l="0" t="0" r="508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CCC5A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37D1E06B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785BE27C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5E33F16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34E47A81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17677E27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1DB4338C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6E97B4DF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0E980E9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191B189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6934D8D1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42982082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6792AD08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69F29E79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24020518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4A52998E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18650AD8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DDDAAF2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758A9E32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2982911F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A76DD9F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6F81C018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7B173B18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2E4FE645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4C40BD2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</w:rPr>
      </w:pPr>
    </w:p>
    <w:p w14:paraId="49104A3D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8D84D6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6186805" cy="3371850"/>
            <wp:effectExtent l="0" t="0" r="444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00103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5B3D387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6D7CF62B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2BF23FD9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79E960A4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53C1360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1579311F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696DFC91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46435D32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163ED2FD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6E630E95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2AB4FE40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3DFF221F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24AEDF90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23395801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323491D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F9D3DF6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7521DBD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9A2AEBA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FD2530C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</w:rPr>
      </w:pPr>
      <w:r>
        <w:drawing>
          <wp:inline distT="0" distB="0" distL="114300" distR="114300">
            <wp:extent cx="6184900" cy="1637030"/>
            <wp:effectExtent l="0" t="0" r="635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8B150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77FA47C9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A6BE718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4B597661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30E8728F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C2AA4BF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0BCFA618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6540BE04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1548D1ED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38C89D43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3AB44602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36248BD9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3867C24D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32EE9201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17082834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62897808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681B3F5C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6A71BA58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0DF8EF36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15721F8C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203F151E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7177ACFB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07C50CC6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179D36AD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26949098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28CBD884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62286427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6BC92CC2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</w:p>
    <w:p w14:paraId="2BAE76C3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6182995" cy="1529080"/>
            <wp:effectExtent l="0" t="0" r="8255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1E057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3F2F0D22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9BF6D71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4E6D0894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603072DB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F8002AB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792A0DC4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CD12BA4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6EA30764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26295BB9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6E77D32E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42E25054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A3CA94C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457E6EC9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47C4DA0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111107C1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644EE5A9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42AFF4B8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3F0738E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456ED32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21E19F1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2DA25091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14CD58D2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33F62AE5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AFB6D60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200B48CB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7F14A813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23C589C0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5381FEE6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30816A07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6188710" cy="7138035"/>
            <wp:effectExtent l="0" t="0" r="254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13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D79AD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</w:p>
    <w:p w14:paraId="0DE90BBF">
      <w:r>
        <w:br w:type="page"/>
      </w:r>
    </w:p>
    <w:p w14:paraId="3A1A9D5E">
      <w:r>
        <w:drawing>
          <wp:inline distT="0" distB="0" distL="114300" distR="114300">
            <wp:extent cx="6505575" cy="8383905"/>
            <wp:effectExtent l="0" t="0" r="9525" b="1714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6578C61F">
      <w:pPr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both"/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7E2F944D">
      <w:pPr>
        <w:adjustRightInd w:val="0"/>
        <w:snapToGrid w:val="0"/>
        <w:spacing w:line="360" w:lineRule="auto"/>
      </w:pPr>
      <w:r>
        <w:drawing>
          <wp:inline distT="0" distB="0" distL="114300" distR="114300">
            <wp:extent cx="5556885" cy="9401175"/>
            <wp:effectExtent l="0" t="0" r="571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56885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1AE1F">
      <w:pPr>
        <w:adjustRightInd w:val="0"/>
        <w:snapToGrid w:val="0"/>
        <w:spacing w:line="360" w:lineRule="auto"/>
      </w:pPr>
      <w:r>
        <w:drawing>
          <wp:inline distT="0" distB="0" distL="114300" distR="114300">
            <wp:extent cx="6189980" cy="8460740"/>
            <wp:effectExtent l="0" t="0" r="1270" b="1651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846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F7CF5">
      <w:pPr>
        <w:adjustRightInd w:val="0"/>
        <w:snapToGrid w:val="0"/>
        <w:spacing w:line="360" w:lineRule="auto"/>
      </w:pPr>
    </w:p>
    <w:sectPr>
      <w:pgSz w:w="11906" w:h="16838"/>
      <w:pgMar w:top="1440" w:right="1077" w:bottom="1440" w:left="107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D0FEF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F8E79"/>
    <w:multiLevelType w:val="singleLevel"/>
    <w:tmpl w:val="82BF8E79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DD109AC8"/>
    <w:multiLevelType w:val="singleLevel"/>
    <w:tmpl w:val="DD109AC8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43E2796E"/>
    <w:multiLevelType w:val="multilevel"/>
    <w:tmpl w:val="43E2796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E905C34"/>
    <w:multiLevelType w:val="singleLevel"/>
    <w:tmpl w:val="5E905C34"/>
    <w:lvl w:ilvl="0" w:tentative="0">
      <w:start w:val="7"/>
      <w:numFmt w:val="chineseCounting"/>
      <w:suff w:val="space"/>
      <w:lvlText w:val="%1、"/>
      <w:lvlJc w:val="left"/>
      <w:rPr>
        <w:rFonts w:hint="eastAsia"/>
      </w:rPr>
    </w:lvl>
  </w:abstractNum>
  <w:abstractNum w:abstractNumId="4">
    <w:nsid w:val="627B219A"/>
    <w:multiLevelType w:val="singleLevel"/>
    <w:tmpl w:val="627B219A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7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MGIwYThiNWUxMzhmYmZkMTAzNTVhNDM5MzA3YWUifQ=="/>
  </w:docVars>
  <w:rsids>
    <w:rsidRoot w:val="006B7E0B"/>
    <w:rsid w:val="00026E9A"/>
    <w:rsid w:val="00044158"/>
    <w:rsid w:val="000445AA"/>
    <w:rsid w:val="000642D8"/>
    <w:rsid w:val="00073592"/>
    <w:rsid w:val="00080DD7"/>
    <w:rsid w:val="00091356"/>
    <w:rsid w:val="000A16EC"/>
    <w:rsid w:val="000A1FF3"/>
    <w:rsid w:val="000A2C68"/>
    <w:rsid w:val="000D2294"/>
    <w:rsid w:val="000E720F"/>
    <w:rsid w:val="000F6C8B"/>
    <w:rsid w:val="0010210A"/>
    <w:rsid w:val="00110824"/>
    <w:rsid w:val="00115771"/>
    <w:rsid w:val="00115915"/>
    <w:rsid w:val="0011799F"/>
    <w:rsid w:val="00135308"/>
    <w:rsid w:val="00142115"/>
    <w:rsid w:val="001422FF"/>
    <w:rsid w:val="001470AF"/>
    <w:rsid w:val="00160C6A"/>
    <w:rsid w:val="0016521F"/>
    <w:rsid w:val="00170A57"/>
    <w:rsid w:val="00172B5F"/>
    <w:rsid w:val="00175E9C"/>
    <w:rsid w:val="00184A45"/>
    <w:rsid w:val="00186BD2"/>
    <w:rsid w:val="00193277"/>
    <w:rsid w:val="001A21DA"/>
    <w:rsid w:val="001A3EB9"/>
    <w:rsid w:val="001B0AF0"/>
    <w:rsid w:val="001D4BA6"/>
    <w:rsid w:val="001D7273"/>
    <w:rsid w:val="001E0093"/>
    <w:rsid w:val="001E0F8C"/>
    <w:rsid w:val="001E7927"/>
    <w:rsid w:val="001F7F9B"/>
    <w:rsid w:val="00200BD7"/>
    <w:rsid w:val="00202EA8"/>
    <w:rsid w:val="002030EF"/>
    <w:rsid w:val="002510C2"/>
    <w:rsid w:val="00265B28"/>
    <w:rsid w:val="0026795F"/>
    <w:rsid w:val="00273D47"/>
    <w:rsid w:val="002750D3"/>
    <w:rsid w:val="0029168C"/>
    <w:rsid w:val="002A620A"/>
    <w:rsid w:val="002B2025"/>
    <w:rsid w:val="002C2A80"/>
    <w:rsid w:val="002C5AAE"/>
    <w:rsid w:val="002E3BE4"/>
    <w:rsid w:val="002E4313"/>
    <w:rsid w:val="002F22D2"/>
    <w:rsid w:val="002F3BB6"/>
    <w:rsid w:val="003352BA"/>
    <w:rsid w:val="00336785"/>
    <w:rsid w:val="00350476"/>
    <w:rsid w:val="0035195B"/>
    <w:rsid w:val="0035776D"/>
    <w:rsid w:val="003843F7"/>
    <w:rsid w:val="00390DEF"/>
    <w:rsid w:val="00392E25"/>
    <w:rsid w:val="003A0434"/>
    <w:rsid w:val="003A2DF5"/>
    <w:rsid w:val="003A6F18"/>
    <w:rsid w:val="003C5F21"/>
    <w:rsid w:val="003D744D"/>
    <w:rsid w:val="003E56DE"/>
    <w:rsid w:val="00401345"/>
    <w:rsid w:val="00404663"/>
    <w:rsid w:val="00420855"/>
    <w:rsid w:val="00432539"/>
    <w:rsid w:val="00451611"/>
    <w:rsid w:val="0047756A"/>
    <w:rsid w:val="00494F22"/>
    <w:rsid w:val="00495611"/>
    <w:rsid w:val="00495CEB"/>
    <w:rsid w:val="00496B7C"/>
    <w:rsid w:val="004974DC"/>
    <w:rsid w:val="004A35D2"/>
    <w:rsid w:val="004A4265"/>
    <w:rsid w:val="004A7AF2"/>
    <w:rsid w:val="004B1819"/>
    <w:rsid w:val="004C001F"/>
    <w:rsid w:val="004C13EB"/>
    <w:rsid w:val="004D5B4E"/>
    <w:rsid w:val="004F068A"/>
    <w:rsid w:val="004F1BCB"/>
    <w:rsid w:val="004F3DF3"/>
    <w:rsid w:val="00511219"/>
    <w:rsid w:val="00521104"/>
    <w:rsid w:val="0052193A"/>
    <w:rsid w:val="00523976"/>
    <w:rsid w:val="0054046E"/>
    <w:rsid w:val="00556950"/>
    <w:rsid w:val="00563E46"/>
    <w:rsid w:val="00567364"/>
    <w:rsid w:val="00577C4A"/>
    <w:rsid w:val="00577F81"/>
    <w:rsid w:val="00591F1A"/>
    <w:rsid w:val="00593810"/>
    <w:rsid w:val="00594E25"/>
    <w:rsid w:val="005B1D55"/>
    <w:rsid w:val="005B5A00"/>
    <w:rsid w:val="005C4D0C"/>
    <w:rsid w:val="005D1138"/>
    <w:rsid w:val="005D30D9"/>
    <w:rsid w:val="00600B18"/>
    <w:rsid w:val="0060297E"/>
    <w:rsid w:val="0064056E"/>
    <w:rsid w:val="00647DE6"/>
    <w:rsid w:val="00662E14"/>
    <w:rsid w:val="00666AC4"/>
    <w:rsid w:val="0067124D"/>
    <w:rsid w:val="00672799"/>
    <w:rsid w:val="00680781"/>
    <w:rsid w:val="006B1909"/>
    <w:rsid w:val="006B49B5"/>
    <w:rsid w:val="006B7E0B"/>
    <w:rsid w:val="006C3CD3"/>
    <w:rsid w:val="006C7564"/>
    <w:rsid w:val="006D6D49"/>
    <w:rsid w:val="006E4BF1"/>
    <w:rsid w:val="006F5265"/>
    <w:rsid w:val="006F5EEE"/>
    <w:rsid w:val="00700744"/>
    <w:rsid w:val="0071044E"/>
    <w:rsid w:val="00730F26"/>
    <w:rsid w:val="0073591F"/>
    <w:rsid w:val="00742BED"/>
    <w:rsid w:val="007541DA"/>
    <w:rsid w:val="007656BD"/>
    <w:rsid w:val="007740BF"/>
    <w:rsid w:val="007829BC"/>
    <w:rsid w:val="0079641C"/>
    <w:rsid w:val="007B5898"/>
    <w:rsid w:val="007C1DF1"/>
    <w:rsid w:val="007C2AA9"/>
    <w:rsid w:val="007C788C"/>
    <w:rsid w:val="007E6790"/>
    <w:rsid w:val="007F7E98"/>
    <w:rsid w:val="00804322"/>
    <w:rsid w:val="008043D9"/>
    <w:rsid w:val="008122D8"/>
    <w:rsid w:val="00812F5C"/>
    <w:rsid w:val="00820FF9"/>
    <w:rsid w:val="00830E30"/>
    <w:rsid w:val="00833702"/>
    <w:rsid w:val="00833DBE"/>
    <w:rsid w:val="00850CE1"/>
    <w:rsid w:val="00852299"/>
    <w:rsid w:val="00860A29"/>
    <w:rsid w:val="00874331"/>
    <w:rsid w:val="00891536"/>
    <w:rsid w:val="0089458A"/>
    <w:rsid w:val="00894D24"/>
    <w:rsid w:val="00897148"/>
    <w:rsid w:val="008B72D5"/>
    <w:rsid w:val="008C14BF"/>
    <w:rsid w:val="008C7AD8"/>
    <w:rsid w:val="008D01B3"/>
    <w:rsid w:val="008D6560"/>
    <w:rsid w:val="008E07B1"/>
    <w:rsid w:val="008E4459"/>
    <w:rsid w:val="00923B00"/>
    <w:rsid w:val="009242BF"/>
    <w:rsid w:val="00926E26"/>
    <w:rsid w:val="00943D7C"/>
    <w:rsid w:val="00944A2D"/>
    <w:rsid w:val="00951DEF"/>
    <w:rsid w:val="00952BFE"/>
    <w:rsid w:val="009821A1"/>
    <w:rsid w:val="00987FE0"/>
    <w:rsid w:val="009A520C"/>
    <w:rsid w:val="009B7A51"/>
    <w:rsid w:val="00A216E6"/>
    <w:rsid w:val="00A330EC"/>
    <w:rsid w:val="00A34341"/>
    <w:rsid w:val="00A35A79"/>
    <w:rsid w:val="00A46E26"/>
    <w:rsid w:val="00A503E7"/>
    <w:rsid w:val="00A52337"/>
    <w:rsid w:val="00A52801"/>
    <w:rsid w:val="00A6267D"/>
    <w:rsid w:val="00A727EB"/>
    <w:rsid w:val="00A87DCF"/>
    <w:rsid w:val="00A90D9E"/>
    <w:rsid w:val="00A96CAF"/>
    <w:rsid w:val="00AC3C61"/>
    <w:rsid w:val="00AE549A"/>
    <w:rsid w:val="00B02CB9"/>
    <w:rsid w:val="00B10D6F"/>
    <w:rsid w:val="00B20C5F"/>
    <w:rsid w:val="00B21967"/>
    <w:rsid w:val="00B61D47"/>
    <w:rsid w:val="00B95A06"/>
    <w:rsid w:val="00BA362F"/>
    <w:rsid w:val="00BA4FA7"/>
    <w:rsid w:val="00BA58CE"/>
    <w:rsid w:val="00BA7185"/>
    <w:rsid w:val="00BB6662"/>
    <w:rsid w:val="00BC333E"/>
    <w:rsid w:val="00BE56FB"/>
    <w:rsid w:val="00BE716F"/>
    <w:rsid w:val="00C33C76"/>
    <w:rsid w:val="00C34784"/>
    <w:rsid w:val="00C435CB"/>
    <w:rsid w:val="00C436B8"/>
    <w:rsid w:val="00C437E8"/>
    <w:rsid w:val="00C831C5"/>
    <w:rsid w:val="00C83F94"/>
    <w:rsid w:val="00CA2F8F"/>
    <w:rsid w:val="00CA7ADA"/>
    <w:rsid w:val="00CB5AAE"/>
    <w:rsid w:val="00CB6DF5"/>
    <w:rsid w:val="00CD03AD"/>
    <w:rsid w:val="00CE3259"/>
    <w:rsid w:val="00CF1B5A"/>
    <w:rsid w:val="00D05ED0"/>
    <w:rsid w:val="00D12D03"/>
    <w:rsid w:val="00D137BC"/>
    <w:rsid w:val="00D15C54"/>
    <w:rsid w:val="00D23117"/>
    <w:rsid w:val="00D32932"/>
    <w:rsid w:val="00D43363"/>
    <w:rsid w:val="00D4466F"/>
    <w:rsid w:val="00D46069"/>
    <w:rsid w:val="00D53D97"/>
    <w:rsid w:val="00D609B7"/>
    <w:rsid w:val="00D6792C"/>
    <w:rsid w:val="00D8037E"/>
    <w:rsid w:val="00D8505C"/>
    <w:rsid w:val="00DA0C53"/>
    <w:rsid w:val="00DA0CAA"/>
    <w:rsid w:val="00DA458E"/>
    <w:rsid w:val="00DA6E83"/>
    <w:rsid w:val="00DB68B2"/>
    <w:rsid w:val="00DC0C6B"/>
    <w:rsid w:val="00DC3D97"/>
    <w:rsid w:val="00DC6FBB"/>
    <w:rsid w:val="00DC798D"/>
    <w:rsid w:val="00DF0DA6"/>
    <w:rsid w:val="00DF3140"/>
    <w:rsid w:val="00E133A9"/>
    <w:rsid w:val="00E20A7D"/>
    <w:rsid w:val="00E20E6F"/>
    <w:rsid w:val="00E21F3E"/>
    <w:rsid w:val="00E31EE0"/>
    <w:rsid w:val="00E33EBB"/>
    <w:rsid w:val="00E36AE5"/>
    <w:rsid w:val="00E371FE"/>
    <w:rsid w:val="00E3795E"/>
    <w:rsid w:val="00E37B7D"/>
    <w:rsid w:val="00E57174"/>
    <w:rsid w:val="00E57C5A"/>
    <w:rsid w:val="00E607D3"/>
    <w:rsid w:val="00E72785"/>
    <w:rsid w:val="00E776E0"/>
    <w:rsid w:val="00E913EB"/>
    <w:rsid w:val="00EC2B0B"/>
    <w:rsid w:val="00ED5B3D"/>
    <w:rsid w:val="00EE543C"/>
    <w:rsid w:val="00EF42A2"/>
    <w:rsid w:val="00F0089D"/>
    <w:rsid w:val="00F2113A"/>
    <w:rsid w:val="00F2137C"/>
    <w:rsid w:val="00F4533D"/>
    <w:rsid w:val="00F51FB3"/>
    <w:rsid w:val="00F754BD"/>
    <w:rsid w:val="00F77A8C"/>
    <w:rsid w:val="00F950F8"/>
    <w:rsid w:val="00FA0A5A"/>
    <w:rsid w:val="00FB158E"/>
    <w:rsid w:val="00FD0777"/>
    <w:rsid w:val="00FD6C1F"/>
    <w:rsid w:val="00FD729D"/>
    <w:rsid w:val="019853F5"/>
    <w:rsid w:val="01FE4A55"/>
    <w:rsid w:val="02677E6F"/>
    <w:rsid w:val="04561A95"/>
    <w:rsid w:val="05532A0D"/>
    <w:rsid w:val="057C7DDD"/>
    <w:rsid w:val="05F477B7"/>
    <w:rsid w:val="067F1777"/>
    <w:rsid w:val="06AA6D2D"/>
    <w:rsid w:val="06E67100"/>
    <w:rsid w:val="074D3623"/>
    <w:rsid w:val="08E25FED"/>
    <w:rsid w:val="09212671"/>
    <w:rsid w:val="0A516F86"/>
    <w:rsid w:val="0BF64289"/>
    <w:rsid w:val="0D3B5CCB"/>
    <w:rsid w:val="0D4A0C68"/>
    <w:rsid w:val="0DEC33DE"/>
    <w:rsid w:val="0E5E1C72"/>
    <w:rsid w:val="0F1B7B63"/>
    <w:rsid w:val="0F423341"/>
    <w:rsid w:val="0F44530B"/>
    <w:rsid w:val="0F59068B"/>
    <w:rsid w:val="10CF32FA"/>
    <w:rsid w:val="10D4717A"/>
    <w:rsid w:val="10F42D61"/>
    <w:rsid w:val="11B60016"/>
    <w:rsid w:val="11FA7F03"/>
    <w:rsid w:val="134277F0"/>
    <w:rsid w:val="14B962E5"/>
    <w:rsid w:val="14F41582"/>
    <w:rsid w:val="15A02B86"/>
    <w:rsid w:val="15DA1A14"/>
    <w:rsid w:val="164E081E"/>
    <w:rsid w:val="17935082"/>
    <w:rsid w:val="181A30AD"/>
    <w:rsid w:val="18720289"/>
    <w:rsid w:val="189C68A9"/>
    <w:rsid w:val="190D755C"/>
    <w:rsid w:val="192D0BBE"/>
    <w:rsid w:val="1AA05907"/>
    <w:rsid w:val="1AA556D9"/>
    <w:rsid w:val="1B8B6070"/>
    <w:rsid w:val="1BB6133F"/>
    <w:rsid w:val="1C424981"/>
    <w:rsid w:val="1C56667E"/>
    <w:rsid w:val="1CEF0458"/>
    <w:rsid w:val="1DFE6FCD"/>
    <w:rsid w:val="1E107DD1"/>
    <w:rsid w:val="1EC21DA9"/>
    <w:rsid w:val="1EED6E1A"/>
    <w:rsid w:val="1F9253D0"/>
    <w:rsid w:val="206770AC"/>
    <w:rsid w:val="20CC5161"/>
    <w:rsid w:val="20DC0DEC"/>
    <w:rsid w:val="210F504D"/>
    <w:rsid w:val="214E5B76"/>
    <w:rsid w:val="21CF4F08"/>
    <w:rsid w:val="21E64000"/>
    <w:rsid w:val="22AD1941"/>
    <w:rsid w:val="240D5C5E"/>
    <w:rsid w:val="24992818"/>
    <w:rsid w:val="28090723"/>
    <w:rsid w:val="2A21651D"/>
    <w:rsid w:val="2B9E76FA"/>
    <w:rsid w:val="2BC2096A"/>
    <w:rsid w:val="2C043A01"/>
    <w:rsid w:val="2C35005E"/>
    <w:rsid w:val="2C3D33B6"/>
    <w:rsid w:val="2CB847EB"/>
    <w:rsid w:val="2D104627"/>
    <w:rsid w:val="2DC21DC5"/>
    <w:rsid w:val="2E112405"/>
    <w:rsid w:val="2E5859B2"/>
    <w:rsid w:val="2E627104"/>
    <w:rsid w:val="2F8C38B0"/>
    <w:rsid w:val="2FC73D1B"/>
    <w:rsid w:val="31010E56"/>
    <w:rsid w:val="31293F09"/>
    <w:rsid w:val="3171432E"/>
    <w:rsid w:val="31CD2AE7"/>
    <w:rsid w:val="324A05DB"/>
    <w:rsid w:val="331663BC"/>
    <w:rsid w:val="33EF31E8"/>
    <w:rsid w:val="348B70ED"/>
    <w:rsid w:val="34C42986"/>
    <w:rsid w:val="34DD74E5"/>
    <w:rsid w:val="350B22A4"/>
    <w:rsid w:val="353F3CFB"/>
    <w:rsid w:val="35610116"/>
    <w:rsid w:val="364728C6"/>
    <w:rsid w:val="36B85B13"/>
    <w:rsid w:val="36D52D08"/>
    <w:rsid w:val="37C818EF"/>
    <w:rsid w:val="39137979"/>
    <w:rsid w:val="39846181"/>
    <w:rsid w:val="39ED1F78"/>
    <w:rsid w:val="3B007A89"/>
    <w:rsid w:val="3C4F6C2D"/>
    <w:rsid w:val="3C9506A5"/>
    <w:rsid w:val="3D4A148F"/>
    <w:rsid w:val="3E5527E2"/>
    <w:rsid w:val="3EBF7D18"/>
    <w:rsid w:val="3F7B0026"/>
    <w:rsid w:val="3FEC3BE7"/>
    <w:rsid w:val="40251D40"/>
    <w:rsid w:val="404C551E"/>
    <w:rsid w:val="41061B71"/>
    <w:rsid w:val="41517290"/>
    <w:rsid w:val="41A526BD"/>
    <w:rsid w:val="43D62EB7"/>
    <w:rsid w:val="43DB5537"/>
    <w:rsid w:val="4439400C"/>
    <w:rsid w:val="449A2CFC"/>
    <w:rsid w:val="4565330A"/>
    <w:rsid w:val="45774DEB"/>
    <w:rsid w:val="45FF375F"/>
    <w:rsid w:val="46020B59"/>
    <w:rsid w:val="460348D1"/>
    <w:rsid w:val="46CE379B"/>
    <w:rsid w:val="47046B53"/>
    <w:rsid w:val="47797541"/>
    <w:rsid w:val="4799373F"/>
    <w:rsid w:val="479C322F"/>
    <w:rsid w:val="47A619B8"/>
    <w:rsid w:val="48B84099"/>
    <w:rsid w:val="48FA020D"/>
    <w:rsid w:val="49177B0A"/>
    <w:rsid w:val="49290AF3"/>
    <w:rsid w:val="49B22896"/>
    <w:rsid w:val="4B911B6E"/>
    <w:rsid w:val="4BA10E14"/>
    <w:rsid w:val="4CF65190"/>
    <w:rsid w:val="4D1418F1"/>
    <w:rsid w:val="4DDA23BB"/>
    <w:rsid w:val="4E0A3E8A"/>
    <w:rsid w:val="4E40569A"/>
    <w:rsid w:val="4F15219A"/>
    <w:rsid w:val="5067058D"/>
    <w:rsid w:val="50744D49"/>
    <w:rsid w:val="50BE16CD"/>
    <w:rsid w:val="50F84E45"/>
    <w:rsid w:val="51B11685"/>
    <w:rsid w:val="5221129C"/>
    <w:rsid w:val="528D42BC"/>
    <w:rsid w:val="52D7511B"/>
    <w:rsid w:val="52D97CF2"/>
    <w:rsid w:val="53A771E4"/>
    <w:rsid w:val="53D83E61"/>
    <w:rsid w:val="54A35BFD"/>
    <w:rsid w:val="55ED6C72"/>
    <w:rsid w:val="57A04676"/>
    <w:rsid w:val="57CF6D09"/>
    <w:rsid w:val="59875AED"/>
    <w:rsid w:val="598A2332"/>
    <w:rsid w:val="59E97E74"/>
    <w:rsid w:val="5B131D9A"/>
    <w:rsid w:val="5D147519"/>
    <w:rsid w:val="5E0314BA"/>
    <w:rsid w:val="5E6E2DD8"/>
    <w:rsid w:val="5EE27322"/>
    <w:rsid w:val="5EF17565"/>
    <w:rsid w:val="5F7A1C50"/>
    <w:rsid w:val="5FBA5715"/>
    <w:rsid w:val="5FE86BBA"/>
    <w:rsid w:val="6171237D"/>
    <w:rsid w:val="626B762E"/>
    <w:rsid w:val="62AA0157"/>
    <w:rsid w:val="652A557F"/>
    <w:rsid w:val="65AE016F"/>
    <w:rsid w:val="65FA31A3"/>
    <w:rsid w:val="6635242D"/>
    <w:rsid w:val="66EA76BB"/>
    <w:rsid w:val="672F5CB1"/>
    <w:rsid w:val="683C6AF0"/>
    <w:rsid w:val="68BB3FBD"/>
    <w:rsid w:val="69082D03"/>
    <w:rsid w:val="69EF14EB"/>
    <w:rsid w:val="6ADA35A3"/>
    <w:rsid w:val="6B513865"/>
    <w:rsid w:val="6D205BE5"/>
    <w:rsid w:val="705D4A5A"/>
    <w:rsid w:val="72BA4DCB"/>
    <w:rsid w:val="72D9462C"/>
    <w:rsid w:val="74B17A6A"/>
    <w:rsid w:val="74B706C6"/>
    <w:rsid w:val="772B58B2"/>
    <w:rsid w:val="77FE2FC7"/>
    <w:rsid w:val="79111DCE"/>
    <w:rsid w:val="79366790"/>
    <w:rsid w:val="795D3D1D"/>
    <w:rsid w:val="7B3F192C"/>
    <w:rsid w:val="7C531BCF"/>
    <w:rsid w:val="7CBE0F77"/>
    <w:rsid w:val="7CF33AE1"/>
    <w:rsid w:val="7E0E55E6"/>
    <w:rsid w:val="7E7C2E97"/>
    <w:rsid w:val="7F4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Plain Text"/>
    <w:basedOn w:val="1"/>
    <w:link w:val="13"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批注框文本 Char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纯文本 Char"/>
    <w:link w:val="3"/>
    <w:semiHidden/>
    <w:qFormat/>
    <w:locked/>
    <w:uiPriority w:val="99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24</Pages>
  <Words>3785</Words>
  <Characters>4054</Characters>
  <Lines>30</Lines>
  <Paragraphs>8</Paragraphs>
  <TotalTime>3</TotalTime>
  <ScaleCrop>false</ScaleCrop>
  <LinksUpToDate>false</LinksUpToDate>
  <CharactersWithSpaces>4210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2019-06-11T00:19:00Z</dcterms:created>
  <dc:creator>lenovo</dc:creator>
  <cp:lastModifiedBy>Administrator</cp:lastModifiedBy>
  <cp:lastPrinted>2021-04-16T07:34:00Z</cp:lastPrinted>
  <dcterms:modified xsi:type="dcterms:W3CDTF">2024-10-15T04:26:42Z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2E99FA3D300849FFB50A4667268E12C9_13</vt:lpwstr>
  </property>
</Properties>
</file>