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安阳市龙安区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马投涧镇王二岗中心小学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23年度单位预算公开说明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2023年7月15日</w:t>
      </w: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二、单位预算构成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23年度单位预算情况说明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一、单位收支总体情况说明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二、单位收入总体情况说明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三、单位支出总体情况说明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 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23年度部门预算表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一、单位</w:t>
      </w:r>
      <w:r>
        <w:rPr>
          <w:rFonts w:hint="eastAsia" w:ascii="仿宋_GB2312" w:eastAsia="仿宋_GB2312"/>
          <w:sz w:val="32"/>
          <w:szCs w:val="32"/>
        </w:rPr>
        <w:t>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二、单位</w:t>
      </w:r>
      <w:r>
        <w:rPr>
          <w:rFonts w:hint="eastAsia" w:ascii="仿宋_GB2312" w:eastAsia="仿宋_GB2312"/>
          <w:sz w:val="32"/>
          <w:szCs w:val="32"/>
        </w:rPr>
        <w:t>收入预算表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三、单位</w:t>
      </w:r>
      <w:r>
        <w:rPr>
          <w:rFonts w:hint="eastAsia" w:ascii="仿宋_GB2312" w:eastAsia="仿宋_GB2312"/>
          <w:sz w:val="32"/>
          <w:szCs w:val="32"/>
        </w:rPr>
        <w:t>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八、一般公共预算“三公”经费预算表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九、政府性基金预算支出预算表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十、项目支出预算表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十一、单位整体绩效目标表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十二、单位预算项目绩效目标表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ascii="仿宋" w:hAnsi="仿宋" w:eastAsia="仿宋" w:cs="仿宋"/>
          <w:sz w:val="30"/>
          <w:szCs w:val="30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 xml:space="preserve">第一部分 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单位概况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单位主要职责</w:t>
      </w:r>
    </w:p>
    <w:p>
      <w:pPr>
        <w:pStyle w:val="12"/>
        <w:spacing w:before="23" w:line="360" w:lineRule="auto"/>
        <w:ind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(一)正确贯彻执行党和国家的教育方针、政策、法规；</w:t>
      </w:r>
    </w:p>
    <w:p>
      <w:pPr>
        <w:pStyle w:val="12"/>
        <w:spacing w:before="23" w:line="360" w:lineRule="auto"/>
        <w:ind w:left="-59" w:right="-68" w:firstLine="804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(二)维护学校的教学秩序，为学生创造良好的学习环境；</w:t>
      </w:r>
    </w:p>
    <w:p>
      <w:pPr>
        <w:pStyle w:val="12"/>
        <w:spacing w:before="23" w:line="360" w:lineRule="auto"/>
        <w:ind w:left="-59" w:right="-68" w:firstLine="804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(三)积极稳妥地推进教育改革，按教育规律办事，不断提高教育质量；</w:t>
      </w:r>
    </w:p>
    <w:p>
      <w:pPr>
        <w:pStyle w:val="12"/>
        <w:spacing w:before="23" w:line="360" w:lineRule="auto"/>
        <w:ind w:left="-59" w:right="-68" w:firstLine="804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(四)根据学校规模，设置学校管理机构，建立健全各项规章制度和岗位责任制；</w:t>
      </w:r>
    </w:p>
    <w:p>
      <w:pPr>
        <w:pStyle w:val="12"/>
        <w:spacing w:before="23" w:line="360" w:lineRule="auto"/>
        <w:ind w:left="-59" w:right="-68" w:firstLine="804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(五)坚持教书育人，服务育人，环境育人方针，加强对学生的思想品德教育，使学生的德智体全面发展；</w:t>
      </w:r>
    </w:p>
    <w:p>
      <w:pPr>
        <w:pStyle w:val="12"/>
        <w:spacing w:before="23" w:line="360" w:lineRule="auto"/>
        <w:ind w:right="-68"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(六)抓好教师队伍建设，使每个教师都热心于教育事业；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(七)做好安全防范，保证学生的人身安全。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1360" w:leftChars="0" w:hanging="720" w:firstLineChars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单位预</w:t>
      </w:r>
      <w:r>
        <w:rPr>
          <w:rFonts w:hint="eastAsia" w:ascii="宋体" w:hAnsi="宋体"/>
          <w:b/>
          <w:sz w:val="32"/>
          <w:szCs w:val="32"/>
        </w:rPr>
        <w:t>算构成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640" w:leftChars="0" w:firstLine="640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安阳市龙安区马投涧镇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王二岗中心小学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。二级机构0个，三级预算单位0个。预算为本级预算。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安阳市龙安区马投涧镇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王二岗中心小学2023年预算公开仅包含本单位预算公开。</w:t>
      </w:r>
    </w:p>
    <w:p>
      <w:pPr>
        <w:pStyle w:val="2"/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安阳市龙安区马投涧镇王二岗中心小学事业编制41名，在职33人，退休19人。</w:t>
      </w: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黑体" w:hAnsi="Times New Roman" w:eastAsia="黑体" w:cs="黑体"/>
          <w:b/>
          <w:bCs/>
          <w:sz w:val="44"/>
          <w:szCs w:val="44"/>
        </w:rPr>
        <w:t>20</w:t>
      </w:r>
      <w:r>
        <w:rPr>
          <w:rFonts w:hint="eastAsia" w:ascii="黑体" w:hAnsi="Times New Roman" w:eastAsia="黑体" w:cs="黑体"/>
          <w:b/>
          <w:bCs/>
          <w:sz w:val="44"/>
          <w:szCs w:val="44"/>
        </w:rPr>
        <w:t>23年度单位预算情况说明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2023年收入总计555.34万元，支出总计555.34万元，与2022年相比，收支总计各增加59.57万元，增长12.02%。主要原因：人员正常增资。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2023年收入合计555.34万元，其中：一般公共预算555.34万元; 政府性基金收入0万元；专户管理的教育收费0万元；国有资本经营预算收入0万元；事业收入0万元；经营收入0万元；其他收入0万元。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三、单位支出总体情况说明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2023年支出合计555.34万元，其中：基本支出504.54万元，占90.85%；项目支出50.80万元，占9.15%。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2023年一般公共预算收支预算555.34万元，政府性基金收支预算0万元。与 2022年相比，一般公共预算收支预算增加59.57万元，增长12.02%，主要原因：人员正常增资。政府性基金收支预算0万元，增长0%。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主要原因：我单位今年及上年无政府性基金支出预算。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2023年一般公共预算支出年初预算为555.34万元，其中：基本支出504.54万元，占90.85%；项目支出50.80万元，占9.15%。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一般公共预算基本支出情况说明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2023年一般公共预算基本支出年初预算为504.54万元，其中：人员经费504.54万元，占100%；公用经费0万元，占0%。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我单位2023年“三公”经费预算为0万元。2023年“三公”经费支出预算数比 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（一）因公出国（境）费0万元，主要用于单位工作人员公务出国（境）的住宿费、旅费、伙食补助费、杂费、培训费等支出。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因公出国（境）费预算数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比2022年减少0万元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无因公出国（境）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（二）公务用车购置及运行费0万元，其中，公务用车购置费0万元；公务用车运行维护费0万元，主要用于开展工作所需公务用车的燃料费、维修费、过路过桥费、保险费、安全奖励费用等支出。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公务用车购置费预算数与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22年相比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万元，主要原因：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无公务用车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。公务用车运行维护费预算数比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</w:t>
      </w:r>
      <w:bookmarkStart w:id="0" w:name="OLE_LINK1"/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bookmarkEnd w:id="0"/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无公务用车运行维护费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（三）公务接待费0万元，主要用于按规定开支的各类公务接待（含外宾接待）支出。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公务接待费预算数比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22年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万元。主要原因：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无公务接待费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我单位2023年没有使用政府性基金预算拨款安排的支出。</w:t>
      </w:r>
    </w:p>
    <w:p>
      <w:pPr>
        <w:spacing w:line="360" w:lineRule="auto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九、其他重要事项的情况说明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（一）单位运行经费支出情况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年单位运行经费支出预算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主要保障机构正常运行及正常履职需要所需支出，包括公用经费、公务交通补贴、工会经费、职工福利等。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23年政府采购预算安排0万元，其中：政府采购货物预算0万元、政府采购工程预算0万元、政府采购服务预算0万元。</w:t>
      </w:r>
    </w:p>
    <w:p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  <w:highlight w:val="yellow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2023年预算项目分别从项目产出、项目效益、项目满意度等方面设立了绩效目标，综合反映了预算的数量、质量，社会经济效益、可持续影响及服务对象满意度等情况。本单位没有重点项目，所以没有重点项目绩效。</w:t>
      </w:r>
      <w:bookmarkStart w:id="1" w:name="_GoBack"/>
      <w:bookmarkEnd w:id="1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22年末，我单位共有车辆0辆，其中：一般公务用车0辆、一般执法执勤用车0辆、特种专业技术用车0辆，其他用车0辆，单价50万元以上通用设备0台（套），单位价值100万元以上专用设备0台（套）。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我单位2023年没有专项转移支付项目。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第三部分 名词解释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三、其他收入：是指单位取得的除“财政拨款”、“事业收入”、“事业单位经营收入”等以外的收入。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单位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“三公”经费：是指纳入同级财政预算管理，单位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第四部分</w:t>
      </w:r>
      <w:r>
        <w:rPr>
          <w:rFonts w:ascii="黑体" w:hAnsi="黑体" w:eastAsia="黑体"/>
          <w:sz w:val="44"/>
          <w:szCs w:val="32"/>
        </w:rPr>
        <w:t xml:space="preserve"> </w:t>
      </w:r>
      <w:r>
        <w:rPr>
          <w:rFonts w:hint="eastAsia" w:ascii="黑体" w:hAnsi="黑体" w:eastAsia="黑体"/>
          <w:sz w:val="44"/>
          <w:szCs w:val="32"/>
        </w:rPr>
        <w:t>附件2023年度单位预算表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39835" cy="6189980"/>
            <wp:effectExtent l="0" t="0" r="184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835" cy="61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49995" cy="233489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55710" cy="3376930"/>
            <wp:effectExtent l="0" t="0" r="254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6345" cy="6165215"/>
            <wp:effectExtent l="0" t="0" r="1905" b="698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5710" cy="3894455"/>
            <wp:effectExtent l="0" t="0" r="2540" b="1079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6980" cy="6149975"/>
            <wp:effectExtent l="0" t="0" r="1270" b="317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61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54440" cy="6124575"/>
            <wp:effectExtent l="0" t="0" r="3810" b="952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62695" cy="2165985"/>
            <wp:effectExtent l="0" t="0" r="14605" b="571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本单位没有一般公共预算“三公”经费支出情况表资金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8861425" cy="2744470"/>
            <wp:effectExtent l="0" t="0" r="15875" b="1778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本单位没有政府性基金预算支出情况表资金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55710" cy="2766695"/>
            <wp:effectExtent l="0" t="0" r="2540" b="1460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8845550" cy="5690235"/>
            <wp:effectExtent l="0" t="0" r="12700" b="571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45550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本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表无数据，为空表。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drawing>
          <wp:inline distT="0" distB="0" distL="114300" distR="114300">
            <wp:extent cx="8861425" cy="3237230"/>
            <wp:effectExtent l="0" t="0" r="15875" b="127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B8841AF"/>
    <w:multiLevelType w:val="singleLevel"/>
    <w:tmpl w:val="7B8841AF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GRiZjViODI5YWU2MTQxY2E1NDUwNjQ5Njg3OGIifQ=="/>
  </w:docVars>
  <w:rsids>
    <w:rsidRoot w:val="006B7E0B"/>
    <w:rsid w:val="00026E9A"/>
    <w:rsid w:val="00044158"/>
    <w:rsid w:val="000445AA"/>
    <w:rsid w:val="000642D8"/>
    <w:rsid w:val="00073592"/>
    <w:rsid w:val="00077229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222CD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C4553"/>
    <w:rsid w:val="001D4BA6"/>
    <w:rsid w:val="001D689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3C1F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B52E3"/>
    <w:rsid w:val="003C3940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36AEC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875E8"/>
    <w:rsid w:val="006B1909"/>
    <w:rsid w:val="006B49B5"/>
    <w:rsid w:val="006B7E0B"/>
    <w:rsid w:val="006C3CD3"/>
    <w:rsid w:val="006C4C2F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4221C"/>
    <w:rsid w:val="007541DA"/>
    <w:rsid w:val="007656BD"/>
    <w:rsid w:val="007740BF"/>
    <w:rsid w:val="007829BC"/>
    <w:rsid w:val="0079641C"/>
    <w:rsid w:val="007B4E8D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141C2"/>
    <w:rsid w:val="00A216E6"/>
    <w:rsid w:val="00A330EC"/>
    <w:rsid w:val="00A34341"/>
    <w:rsid w:val="00A35A79"/>
    <w:rsid w:val="00A46E26"/>
    <w:rsid w:val="00A474E1"/>
    <w:rsid w:val="00A503E7"/>
    <w:rsid w:val="00A52337"/>
    <w:rsid w:val="00A52801"/>
    <w:rsid w:val="00A6267D"/>
    <w:rsid w:val="00A727EB"/>
    <w:rsid w:val="00A87DCF"/>
    <w:rsid w:val="00A90D9E"/>
    <w:rsid w:val="00A96CAF"/>
    <w:rsid w:val="00A97D95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04EFC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76260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15F25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96EDD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1BB1"/>
    <w:rsid w:val="00F950F8"/>
    <w:rsid w:val="00FA0A5A"/>
    <w:rsid w:val="00FB158E"/>
    <w:rsid w:val="00FD0777"/>
    <w:rsid w:val="00FD6C1F"/>
    <w:rsid w:val="00FD729D"/>
    <w:rsid w:val="0446159A"/>
    <w:rsid w:val="05532A0D"/>
    <w:rsid w:val="075F02DC"/>
    <w:rsid w:val="08067395"/>
    <w:rsid w:val="14A95BEF"/>
    <w:rsid w:val="14B962E5"/>
    <w:rsid w:val="18775940"/>
    <w:rsid w:val="189C68A9"/>
    <w:rsid w:val="1AA05907"/>
    <w:rsid w:val="1AA556D9"/>
    <w:rsid w:val="1D695BE3"/>
    <w:rsid w:val="1DEA1102"/>
    <w:rsid w:val="1E107DD1"/>
    <w:rsid w:val="24EA2A85"/>
    <w:rsid w:val="2BC2096A"/>
    <w:rsid w:val="2C35005E"/>
    <w:rsid w:val="2CB847EB"/>
    <w:rsid w:val="2CEF46B1"/>
    <w:rsid w:val="2E112405"/>
    <w:rsid w:val="2E5859B2"/>
    <w:rsid w:val="2FC73D1B"/>
    <w:rsid w:val="3171432E"/>
    <w:rsid w:val="3263766D"/>
    <w:rsid w:val="33EF31E8"/>
    <w:rsid w:val="35610116"/>
    <w:rsid w:val="3B007A89"/>
    <w:rsid w:val="3B5F0147"/>
    <w:rsid w:val="3EBF7D18"/>
    <w:rsid w:val="3FEC3BE7"/>
    <w:rsid w:val="43D62EB7"/>
    <w:rsid w:val="44B44CD6"/>
    <w:rsid w:val="44DD22BD"/>
    <w:rsid w:val="468D3F87"/>
    <w:rsid w:val="489F5648"/>
    <w:rsid w:val="49290AF3"/>
    <w:rsid w:val="4A585020"/>
    <w:rsid w:val="4B911B6E"/>
    <w:rsid w:val="4CBF24FC"/>
    <w:rsid w:val="4F6E7064"/>
    <w:rsid w:val="54A35BFD"/>
    <w:rsid w:val="55ED6C72"/>
    <w:rsid w:val="5B131D9A"/>
    <w:rsid w:val="5DF254FF"/>
    <w:rsid w:val="6191575F"/>
    <w:rsid w:val="67DF23E2"/>
    <w:rsid w:val="68316D51"/>
    <w:rsid w:val="6F5A338D"/>
    <w:rsid w:val="72BA4DCB"/>
    <w:rsid w:val="79111DCE"/>
    <w:rsid w:val="795D3D1D"/>
    <w:rsid w:val="79867852"/>
    <w:rsid w:val="7CF33AE1"/>
    <w:rsid w:val="7FB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1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2705</Words>
  <Characters>2900</Characters>
  <Lines>22</Lines>
  <Paragraphs>6</Paragraphs>
  <TotalTime>8</TotalTime>
  <ScaleCrop>false</ScaleCrop>
  <LinksUpToDate>false</LinksUpToDate>
  <CharactersWithSpaces>3061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赵培致</cp:lastModifiedBy>
  <cp:lastPrinted>2024-09-06T01:40:00Z</cp:lastPrinted>
  <dcterms:modified xsi:type="dcterms:W3CDTF">2024-10-11T04:30:38Z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497A8EEA72EC4F21B009C2C51FDF66BC_13</vt:lpwstr>
  </property>
</Properties>
</file>