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61D54">
      <w:pPr>
        <w:adjustRightInd w:val="0"/>
        <w:snapToGrid w:val="0"/>
        <w:spacing w:line="360" w:lineRule="auto"/>
        <w:jc w:val="center"/>
        <w:rPr>
          <w:rFonts w:hint="eastAsia" w:ascii="方正小标宋简体" w:hAnsi="Times New Roman" w:eastAsia="方正小标宋简体"/>
          <w:b/>
          <w:sz w:val="72"/>
          <w:szCs w:val="72"/>
        </w:rPr>
      </w:pPr>
    </w:p>
    <w:p w14:paraId="4920FFC8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color w:val="auto"/>
          <w:sz w:val="72"/>
          <w:szCs w:val="72"/>
          <w:lang w:eastAsia="zh-CN"/>
        </w:rPr>
      </w:pPr>
      <w:r>
        <w:rPr>
          <w:rFonts w:hint="eastAsia" w:ascii="宋体" w:hAnsi="宋体"/>
          <w:b/>
          <w:color w:val="auto"/>
          <w:sz w:val="72"/>
          <w:szCs w:val="72"/>
          <w:lang w:eastAsia="zh-CN"/>
        </w:rPr>
        <w:t>安阳市龙安区文明办</w:t>
      </w:r>
    </w:p>
    <w:p w14:paraId="74E10377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/>
          <w:b/>
          <w:sz w:val="72"/>
          <w:szCs w:val="72"/>
        </w:rPr>
        <w:t>20</w:t>
      </w:r>
      <w:r>
        <w:rPr>
          <w:rFonts w:hint="eastAsia" w:ascii="宋体" w:hAnsi="宋体"/>
          <w:b/>
          <w:sz w:val="72"/>
          <w:szCs w:val="72"/>
        </w:rPr>
        <w:t>2</w:t>
      </w:r>
      <w:r>
        <w:rPr>
          <w:rFonts w:hint="eastAsia" w:ascii="宋体" w:hAnsi="宋体"/>
          <w:b/>
          <w:sz w:val="72"/>
          <w:szCs w:val="72"/>
          <w:lang w:val="en-US" w:eastAsia="zh-CN"/>
        </w:rPr>
        <w:t>3</w:t>
      </w:r>
      <w:r>
        <w:rPr>
          <w:rFonts w:hint="eastAsia" w:ascii="宋体" w:hAnsi="宋体"/>
          <w:b/>
          <w:sz w:val="72"/>
          <w:szCs w:val="72"/>
        </w:rPr>
        <w:t>年度部门预算公开说明</w:t>
      </w:r>
    </w:p>
    <w:p w14:paraId="06690586">
      <w:pPr>
        <w:adjustRightInd w:val="0"/>
        <w:snapToGrid w:val="0"/>
        <w:spacing w:line="360" w:lineRule="auto"/>
        <w:jc w:val="center"/>
        <w:rPr>
          <w:rFonts w:ascii="方正小标宋简体" w:hAnsi="Times New Roman" w:eastAsia="方正小标宋简体"/>
          <w:b/>
          <w:sz w:val="84"/>
          <w:szCs w:val="84"/>
        </w:rPr>
      </w:pPr>
    </w:p>
    <w:p w14:paraId="291C7735">
      <w:pPr>
        <w:adjustRightInd w:val="0"/>
        <w:snapToGrid w:val="0"/>
        <w:spacing w:line="360" w:lineRule="auto"/>
        <w:jc w:val="center"/>
        <w:rPr>
          <w:rFonts w:ascii="方正小标宋简体" w:hAnsi="Times New Roman" w:eastAsia="方正小标宋简体"/>
          <w:b/>
          <w:sz w:val="84"/>
          <w:szCs w:val="84"/>
        </w:rPr>
      </w:pPr>
    </w:p>
    <w:p w14:paraId="313C1230">
      <w:pPr>
        <w:adjustRightInd w:val="0"/>
        <w:snapToGrid w:val="0"/>
        <w:spacing w:line="360" w:lineRule="auto"/>
        <w:rPr>
          <w:rFonts w:ascii="方正小标宋简体" w:hAnsi="Times New Roman" w:eastAsia="方正小标宋简体"/>
          <w:b/>
          <w:sz w:val="84"/>
          <w:szCs w:val="84"/>
        </w:rPr>
      </w:pPr>
    </w:p>
    <w:p w14:paraId="77C14A09">
      <w:pPr>
        <w:kinsoku w:val="0"/>
        <w:overflowPunct w:val="0"/>
        <w:adjustRightInd w:val="0"/>
        <w:snapToGrid w:val="0"/>
        <w:spacing w:line="360" w:lineRule="auto"/>
        <w:ind w:left="101" w:leftChars="48" w:right="-58" w:firstLine="2831" w:firstLineChars="641"/>
        <w:rPr>
          <w:rFonts w:ascii="宋体" w:hAnsi="宋体"/>
          <w:b/>
          <w:bCs w:val="0"/>
          <w:color w:val="auto"/>
          <w:sz w:val="44"/>
          <w:szCs w:val="44"/>
        </w:rPr>
      </w:pPr>
      <w:r>
        <w:rPr>
          <w:rFonts w:hint="eastAsia" w:ascii="宋体" w:hAnsi="宋体"/>
          <w:b/>
          <w:bCs w:val="0"/>
          <w:color w:val="auto"/>
          <w:sz w:val="44"/>
          <w:szCs w:val="44"/>
        </w:rPr>
        <w:t>202</w:t>
      </w:r>
      <w:r>
        <w:rPr>
          <w:rFonts w:hint="eastAsia" w:ascii="宋体" w:hAnsi="宋体"/>
          <w:b/>
          <w:bCs w:val="0"/>
          <w:color w:val="auto"/>
          <w:sz w:val="44"/>
          <w:szCs w:val="44"/>
          <w:lang w:val="en-US" w:eastAsia="zh-CN"/>
        </w:rPr>
        <w:t>3</w:t>
      </w:r>
      <w:r>
        <w:rPr>
          <w:rFonts w:hint="eastAsia" w:ascii="宋体" w:hAnsi="宋体"/>
          <w:b/>
          <w:bCs w:val="0"/>
          <w:color w:val="auto"/>
          <w:sz w:val="44"/>
          <w:szCs w:val="44"/>
        </w:rPr>
        <w:t>年</w:t>
      </w:r>
      <w:r>
        <w:rPr>
          <w:rFonts w:hint="eastAsia" w:ascii="宋体" w:hAnsi="宋体"/>
          <w:b/>
          <w:bCs w:val="0"/>
          <w:color w:val="auto"/>
          <w:sz w:val="44"/>
          <w:szCs w:val="44"/>
          <w:lang w:val="en-US" w:eastAsia="zh-CN"/>
        </w:rPr>
        <w:t>7</w:t>
      </w:r>
      <w:r>
        <w:rPr>
          <w:rFonts w:hint="eastAsia" w:ascii="宋体" w:hAnsi="宋体"/>
          <w:b/>
          <w:bCs w:val="0"/>
          <w:color w:val="auto"/>
          <w:sz w:val="44"/>
          <w:szCs w:val="44"/>
        </w:rPr>
        <w:t>月</w:t>
      </w:r>
      <w:r>
        <w:rPr>
          <w:rFonts w:hint="eastAsia" w:ascii="宋体" w:hAnsi="宋体"/>
          <w:b/>
          <w:bCs w:val="0"/>
          <w:color w:val="auto"/>
          <w:sz w:val="44"/>
          <w:szCs w:val="44"/>
          <w:lang w:val="en-US" w:eastAsia="zh-CN"/>
        </w:rPr>
        <w:t xml:space="preserve"> 15 </w:t>
      </w:r>
      <w:r>
        <w:rPr>
          <w:rFonts w:hint="eastAsia" w:ascii="宋体" w:hAnsi="宋体"/>
          <w:b/>
          <w:bCs w:val="0"/>
          <w:color w:val="auto"/>
          <w:sz w:val="44"/>
          <w:szCs w:val="44"/>
        </w:rPr>
        <w:t>日</w:t>
      </w:r>
    </w:p>
    <w:p w14:paraId="224510AB">
      <w:pPr>
        <w:kinsoku w:val="0"/>
        <w:overflowPunct w:val="0"/>
        <w:adjustRightInd w:val="0"/>
        <w:snapToGrid w:val="0"/>
        <w:spacing w:line="360" w:lineRule="auto"/>
        <w:ind w:left="-142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</w:p>
    <w:p w14:paraId="40585223">
      <w:pPr>
        <w:kinsoku w:val="0"/>
        <w:overflowPunct w:val="0"/>
        <w:adjustRightInd w:val="0"/>
        <w:snapToGrid w:val="0"/>
        <w:spacing w:line="360" w:lineRule="auto"/>
        <w:rPr>
          <w:rFonts w:ascii="黑体" w:hAnsi="Times New Roman" w:eastAsia="黑体" w:cs="黑体"/>
          <w:sz w:val="56"/>
          <w:szCs w:val="56"/>
        </w:rPr>
      </w:pPr>
    </w:p>
    <w:p w14:paraId="3175BF9D">
      <w:pPr>
        <w:kinsoku w:val="0"/>
        <w:overflowPunct w:val="0"/>
        <w:adjustRightInd w:val="0"/>
        <w:snapToGrid w:val="0"/>
        <w:spacing w:line="360" w:lineRule="auto"/>
        <w:ind w:left="-142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  <w:r>
        <w:rPr>
          <w:rFonts w:hint="eastAsia" w:ascii="黑体" w:hAnsi="Times New Roman" w:eastAsia="黑体" w:cs="黑体"/>
          <w:sz w:val="56"/>
          <w:szCs w:val="56"/>
        </w:rPr>
        <w:t>目  录</w:t>
      </w:r>
    </w:p>
    <w:p w14:paraId="4BC2E842">
      <w:pPr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第一部分</w:t>
      </w:r>
      <w:r>
        <w:rPr>
          <w:rFonts w:ascii="黑体" w:hAnsi="Times New Roman" w:eastAsia="黑体" w:cs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部门</w:t>
      </w:r>
      <w:r>
        <w:rPr>
          <w:rFonts w:hint="eastAsia" w:ascii="黑体" w:hAnsi="Times New Roman" w:eastAsia="黑体" w:cs="黑体"/>
          <w:sz w:val="32"/>
          <w:szCs w:val="32"/>
        </w:rPr>
        <w:t>概况</w:t>
      </w:r>
    </w:p>
    <w:p w14:paraId="5100E54C"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一、主要职能</w:t>
      </w:r>
    </w:p>
    <w:p w14:paraId="7485C7E3"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二、部门预算单位构成</w:t>
      </w:r>
    </w:p>
    <w:p w14:paraId="61950753">
      <w:pPr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第二部分</w:t>
      </w:r>
      <w:r>
        <w:rPr>
          <w:rFonts w:ascii="黑体" w:hAnsi="Times New Roman" w:eastAsia="黑体" w:cs="黑体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sz w:val="32"/>
          <w:szCs w:val="32"/>
        </w:rPr>
        <w:t xml:space="preserve"> </w:t>
      </w:r>
      <w:r>
        <w:rPr>
          <w:rFonts w:ascii="黑体" w:hAnsi="Times New Roman" w:eastAsia="黑体" w:cs="黑体"/>
          <w:sz w:val="32"/>
          <w:szCs w:val="32"/>
        </w:rPr>
        <w:t>20</w:t>
      </w:r>
      <w:r>
        <w:rPr>
          <w:rFonts w:hint="eastAsia" w:ascii="黑体" w:hAnsi="Times New Roman" w:eastAsia="黑体" w:cs="黑体"/>
          <w:sz w:val="32"/>
          <w:szCs w:val="32"/>
        </w:rPr>
        <w:t>2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Times New Roman" w:eastAsia="黑体" w:cs="黑体"/>
          <w:sz w:val="32"/>
          <w:szCs w:val="32"/>
        </w:rPr>
        <w:t>年度部门预算情况说明</w:t>
      </w:r>
    </w:p>
    <w:p w14:paraId="4B670BB1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一、部门收支总体情况说明</w:t>
      </w:r>
    </w:p>
    <w:p w14:paraId="5ECE0273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二、部门收入总体情况说明</w:t>
      </w:r>
    </w:p>
    <w:p w14:paraId="5ACF5D6B"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三、部门支出总体情况说明</w:t>
      </w:r>
    </w:p>
    <w:p w14:paraId="1C64A382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四、财政拨款收支总体情况说明</w:t>
      </w:r>
    </w:p>
    <w:p w14:paraId="773064F6">
      <w:pPr>
        <w:kinsoku w:val="0"/>
        <w:overflowPunct w:val="0"/>
        <w:adjustRightInd w:val="0"/>
        <w:snapToGrid w:val="0"/>
        <w:spacing w:line="360" w:lineRule="auto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五、一般公共预算支出情况说明</w:t>
      </w:r>
    </w:p>
    <w:p w14:paraId="0A25858C"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六、一般公共预算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基本</w:t>
      </w:r>
      <w:r>
        <w:rPr>
          <w:rFonts w:hint="eastAsia" w:ascii="仿宋_GB2312" w:hAnsi="Times New Roman" w:eastAsia="仿宋_GB2312" w:cs="仿宋_GB2312"/>
          <w:sz w:val="32"/>
          <w:szCs w:val="32"/>
        </w:rPr>
        <w:t>支出情况说明</w:t>
      </w:r>
    </w:p>
    <w:p w14:paraId="16229331">
      <w:pPr>
        <w:kinsoku w:val="0"/>
        <w:overflowPunct w:val="0"/>
        <w:adjustRightInd w:val="0"/>
        <w:snapToGrid w:val="0"/>
        <w:spacing w:line="360" w:lineRule="auto"/>
        <w:jc w:val="left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七、一般公共预算“三公”经费支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出预算情况说明</w:t>
      </w:r>
    </w:p>
    <w:p w14:paraId="24800E89">
      <w:pPr>
        <w:kinsoku w:val="0"/>
        <w:overflowPunct w:val="0"/>
        <w:adjustRightInd w:val="0"/>
        <w:snapToGrid w:val="0"/>
        <w:spacing w:line="360" w:lineRule="auto"/>
        <w:jc w:val="left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八、政府性基金预算支出情况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说明</w:t>
      </w:r>
    </w:p>
    <w:p w14:paraId="4FD5A1E5"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eastAsia="仿宋_GB2312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Times New Roman" w:eastAsia="仿宋_GB2312" w:cs="仿宋_GB2312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其他重要事项的情况说明</w:t>
      </w:r>
    </w:p>
    <w:p w14:paraId="20C766F3">
      <w:pPr>
        <w:kinsoku w:val="0"/>
        <w:overflowPunct w:val="0"/>
        <w:adjustRightInd w:val="0"/>
        <w:snapToGrid w:val="0"/>
        <w:spacing w:line="360" w:lineRule="auto"/>
        <w:ind w:firstLine="640" w:firstLineChars="200"/>
        <w:jc w:val="left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 xml:space="preserve">第三部分  </w:t>
      </w:r>
      <w:r>
        <w:rPr>
          <w:rFonts w:hint="eastAsia" w:ascii="黑体" w:hAnsi="Times New Roman" w:eastAsia="黑体" w:cs="黑体"/>
          <w:spacing w:val="-32"/>
          <w:sz w:val="32"/>
          <w:szCs w:val="32"/>
        </w:rPr>
        <w:t>名词解释</w:t>
      </w:r>
    </w:p>
    <w:p w14:paraId="43A6DB3E">
      <w:pPr>
        <w:kinsoku w:val="0"/>
        <w:overflowPunct w:val="0"/>
        <w:adjustRightInd w:val="0"/>
        <w:snapToGrid w:val="0"/>
        <w:spacing w:line="360" w:lineRule="auto"/>
        <w:ind w:firstLine="630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</w:t>
      </w:r>
      <w:r>
        <w:rPr>
          <w:rFonts w:hint="eastAsia" w:ascii="黑体" w:hAnsi="Times New Roman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Times New Roman" w:eastAsia="黑体" w:cs="黑体"/>
          <w:sz w:val="32"/>
          <w:szCs w:val="32"/>
        </w:rPr>
        <w:t>部分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Times New Roman" w:eastAsia="黑体" w:cs="黑体"/>
          <w:sz w:val="32"/>
          <w:szCs w:val="32"/>
        </w:rPr>
        <w:t>20</w:t>
      </w:r>
      <w:r>
        <w:rPr>
          <w:rFonts w:hint="eastAsia" w:ascii="黑体" w:hAnsi="Times New Roman" w:eastAsia="黑体" w:cs="黑体"/>
          <w:sz w:val="32"/>
          <w:szCs w:val="32"/>
        </w:rPr>
        <w:t>2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Times New Roman" w:eastAsia="黑体" w:cs="黑体"/>
          <w:sz w:val="32"/>
          <w:szCs w:val="32"/>
        </w:rPr>
        <w:t>年度部门预算表</w:t>
      </w:r>
    </w:p>
    <w:p w14:paraId="049162B8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</w:rPr>
        <w:t>部门收支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表</w:t>
      </w:r>
    </w:p>
    <w:p w14:paraId="5EBC85A3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</w:rPr>
        <w:t>部门收入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表</w:t>
      </w:r>
    </w:p>
    <w:p w14:paraId="0E991EFA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部门支出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表</w:t>
      </w:r>
    </w:p>
    <w:p w14:paraId="236F8CB9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</w:rPr>
        <w:t>财政拨款收支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表</w:t>
      </w:r>
    </w:p>
    <w:p w14:paraId="71B68B1D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五、</w:t>
      </w:r>
      <w:r>
        <w:rPr>
          <w:rFonts w:hint="eastAsia" w:ascii="仿宋_GB2312" w:eastAsia="仿宋_GB2312"/>
          <w:sz w:val="32"/>
          <w:szCs w:val="32"/>
        </w:rPr>
        <w:t>一般公共预算支出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表</w:t>
      </w:r>
    </w:p>
    <w:p w14:paraId="39063893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六、</w:t>
      </w:r>
      <w:r>
        <w:rPr>
          <w:rFonts w:hint="eastAsia" w:ascii="仿宋" w:hAnsi="仿宋" w:eastAsia="仿宋" w:cs="仿宋"/>
          <w:sz w:val="30"/>
          <w:szCs w:val="30"/>
        </w:rPr>
        <w:t>一般公共预算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基本支出表</w:t>
      </w:r>
    </w:p>
    <w:p w14:paraId="695B18C9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七、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支出经济分类汇总表</w:t>
      </w:r>
    </w:p>
    <w:p w14:paraId="5599E473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八、</w:t>
      </w:r>
      <w:r>
        <w:rPr>
          <w:rFonts w:hint="eastAsia" w:ascii="仿宋" w:hAnsi="仿宋" w:eastAsia="仿宋" w:cs="仿宋"/>
          <w:sz w:val="30"/>
          <w:szCs w:val="30"/>
        </w:rPr>
        <w:t>一般公共预算“三公”经费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预算表</w:t>
      </w:r>
    </w:p>
    <w:p w14:paraId="1BF72920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</w:t>
      </w:r>
      <w:r>
        <w:rPr>
          <w:rFonts w:hint="eastAsia" w:ascii="仿宋" w:hAnsi="仿宋" w:eastAsia="仿宋" w:cs="仿宋"/>
          <w:sz w:val="30"/>
          <w:szCs w:val="30"/>
        </w:rPr>
        <w:t>政府性基金预算支出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预算表</w:t>
      </w:r>
    </w:p>
    <w:p w14:paraId="7ECAC3B5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十、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项目支出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预算表</w:t>
      </w:r>
    </w:p>
    <w:p w14:paraId="69218BBC">
      <w:pPr>
        <w:kinsoku w:val="0"/>
        <w:overflowPunct w:val="0"/>
        <w:adjustRightInd w:val="0"/>
        <w:snapToGrid w:val="0"/>
        <w:spacing w:line="360" w:lineRule="auto"/>
        <w:ind w:right="51" w:firstLine="900" w:firstLineChars="3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十一、部门整体绩效目标表</w:t>
      </w:r>
    </w:p>
    <w:p w14:paraId="3A986E70">
      <w:pPr>
        <w:kinsoku w:val="0"/>
        <w:overflowPunct w:val="0"/>
        <w:adjustRightInd w:val="0"/>
        <w:snapToGrid w:val="0"/>
        <w:spacing w:line="360" w:lineRule="auto"/>
        <w:ind w:right="51" w:firstLine="900" w:firstLineChars="3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十二、部门预算项目绩效目标表</w:t>
      </w:r>
    </w:p>
    <w:p w14:paraId="091A7328">
      <w:pPr>
        <w:kinsoku w:val="0"/>
        <w:overflowPunct w:val="0"/>
        <w:adjustRightInd w:val="0"/>
        <w:snapToGrid w:val="0"/>
        <w:spacing w:line="360" w:lineRule="auto"/>
        <w:ind w:right="51" w:firstLine="900" w:firstLineChars="3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48499FBE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0081763C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1692F4F2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55F6CE05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5955C538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5DBF603A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49AA4ACF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32465A7B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537B79AA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4F6815A3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6A0D1D06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36759680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64A46804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5CACD965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00B5144A">
      <w:pPr>
        <w:kinsoku w:val="0"/>
        <w:overflowPunct w:val="0"/>
        <w:adjustRightInd w:val="0"/>
        <w:snapToGrid w:val="0"/>
        <w:spacing w:line="360" w:lineRule="auto"/>
        <w:ind w:right="51"/>
        <w:jc w:val="left"/>
        <w:rPr>
          <w:rFonts w:ascii="仿宋_GB2312" w:eastAsia="仿宋_GB2312"/>
          <w:sz w:val="32"/>
          <w:szCs w:val="32"/>
        </w:rPr>
      </w:pPr>
    </w:p>
    <w:p w14:paraId="4FEB7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黑体" w:hAnsi="黑体" w:eastAsia="黑体"/>
          <w:sz w:val="44"/>
          <w:szCs w:val="32"/>
        </w:rPr>
      </w:pPr>
      <w:r>
        <w:rPr>
          <w:rFonts w:hint="eastAsia" w:ascii="黑体" w:hAnsi="黑体" w:eastAsia="黑体"/>
          <w:sz w:val="44"/>
          <w:szCs w:val="32"/>
        </w:rPr>
        <w:t>第一部分</w:t>
      </w:r>
    </w:p>
    <w:p w14:paraId="7DD4B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黑体" w:hAnsi="黑体" w:eastAsia="黑体"/>
          <w:sz w:val="40"/>
          <w:szCs w:val="32"/>
        </w:rPr>
      </w:pPr>
      <w:r>
        <w:rPr>
          <w:rFonts w:hint="eastAsia" w:ascii="黑体" w:hAnsi="黑体" w:eastAsia="黑体"/>
          <w:b/>
          <w:bCs/>
          <w:sz w:val="40"/>
          <w:szCs w:val="32"/>
        </w:rPr>
        <w:t>部门概</w:t>
      </w:r>
      <w:r>
        <w:rPr>
          <w:rFonts w:hint="eastAsia" w:ascii="黑体" w:hAnsi="黑体" w:eastAsia="黑体"/>
          <w:sz w:val="40"/>
          <w:szCs w:val="32"/>
        </w:rPr>
        <w:t>况</w:t>
      </w:r>
    </w:p>
    <w:p w14:paraId="04345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center"/>
        <w:textAlignment w:val="auto"/>
        <w:rPr>
          <w:rFonts w:ascii="黑体" w:hAnsi="黑体" w:eastAsia="黑体"/>
          <w:sz w:val="32"/>
          <w:szCs w:val="32"/>
        </w:rPr>
      </w:pPr>
    </w:p>
    <w:p w14:paraId="6F665B3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部门主要职责</w:t>
      </w:r>
    </w:p>
    <w:p w14:paraId="425DE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贯彻落实党中央、省委、市委关于加强社会主义精神文明建设的方针政策和区委有关部署，</w:t>
      </w:r>
    </w:p>
    <w:p w14:paraId="7028D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在龙安区精神文明建设指导委员会指导下统筹协调、指导推动全区精神文明建设工作，</w:t>
      </w:r>
    </w:p>
    <w:p w14:paraId="190FF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组织开展全区群众性精神文明创建活动，评选表彰精神文明建设先进典型，总结推广先进经验。</w:t>
      </w:r>
    </w:p>
    <w:p w14:paraId="36B07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宋体" w:hAnsi="宋体"/>
          <w:b/>
          <w:bCs/>
          <w:sz w:val="32"/>
          <w:szCs w:val="32"/>
        </w:rPr>
        <w:t>部门预</w:t>
      </w:r>
      <w:r>
        <w:rPr>
          <w:rFonts w:hint="eastAsia" w:ascii="宋体" w:hAnsi="宋体"/>
          <w:b/>
          <w:sz w:val="32"/>
          <w:szCs w:val="32"/>
        </w:rPr>
        <w:t>算单位构成</w:t>
      </w:r>
    </w:p>
    <w:p w14:paraId="0AD6518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00"/>
        <w:textAlignment w:val="auto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区文明办内设机构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0个。</w:t>
      </w:r>
    </w:p>
    <w:p w14:paraId="3863209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本部门预算包括机关本级预算和所属单位预算在内的汇总预算</w:t>
      </w:r>
      <w:r>
        <w:rPr>
          <w:rFonts w:hint="eastAsia" w:ascii="仿宋_GB2312" w:hAnsi="宋体" w:eastAsia="仿宋_GB2312" w:cs="宋体"/>
          <w:sz w:val="32"/>
          <w:szCs w:val="32"/>
        </w:rPr>
        <w:t>。本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部门</w:t>
      </w:r>
      <w:r>
        <w:rPr>
          <w:rFonts w:hint="eastAsia" w:ascii="仿宋_GB2312" w:hAnsi="宋体" w:eastAsia="仿宋_GB2312" w:cs="宋体"/>
          <w:sz w:val="32"/>
          <w:szCs w:val="32"/>
        </w:rPr>
        <w:t>预算为汇总预算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有二级机构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个，三级预算单位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个。纳入202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年度部门预算编报范围的预算单位如下：</w:t>
      </w:r>
      <w:r>
        <w:rPr>
          <w:rFonts w:ascii="仿宋_GB2312" w:hAnsi="宋体" w:eastAsia="仿宋_GB2312" w:cs="宋体"/>
          <w:sz w:val="32"/>
          <w:szCs w:val="32"/>
        </w:rPr>
        <w:t xml:space="preserve"> </w:t>
      </w:r>
    </w:p>
    <w:p w14:paraId="3447B95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1、龙安区精神文明建设指导委员会办公室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机关本级</w:t>
      </w:r>
    </w:p>
    <w:p w14:paraId="374CC7F4"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ascii="黑体" w:hAnsi="Times New Roman" w:eastAsia="黑体" w:cs="黑体"/>
          <w:sz w:val="32"/>
          <w:szCs w:val="32"/>
          <w:lang w:eastAsia="zh-CN"/>
        </w:rPr>
      </w:pPr>
    </w:p>
    <w:p w14:paraId="6FDCC856"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580" w:lineRule="exact"/>
        <w:jc w:val="center"/>
        <w:textAlignment w:val="auto"/>
        <w:rPr>
          <w:rFonts w:ascii="宋体" w:hAnsi="宋体" w:cs="黑体"/>
          <w:b/>
          <w:spacing w:val="-38"/>
          <w:sz w:val="40"/>
          <w:szCs w:val="32"/>
        </w:rPr>
      </w:pPr>
      <w:r>
        <w:rPr>
          <w:rFonts w:hint="eastAsia" w:ascii="宋体" w:hAnsi="宋体" w:cs="黑体"/>
          <w:b/>
          <w:sz w:val="40"/>
          <w:szCs w:val="32"/>
        </w:rPr>
        <w:t>第二部分</w:t>
      </w:r>
    </w:p>
    <w:p w14:paraId="27267401"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580" w:lineRule="exact"/>
        <w:jc w:val="center"/>
        <w:textAlignment w:val="auto"/>
        <w:rPr>
          <w:rFonts w:ascii="黑体" w:hAnsi="黑体" w:eastAsia="黑体"/>
          <w:b/>
          <w:bCs/>
          <w:sz w:val="40"/>
          <w:szCs w:val="32"/>
        </w:rPr>
      </w:pPr>
      <w:r>
        <w:rPr>
          <w:rFonts w:ascii="黑体" w:hAnsi="Times New Roman" w:eastAsia="黑体" w:cs="黑体"/>
          <w:b/>
          <w:bCs/>
          <w:sz w:val="40"/>
          <w:szCs w:val="32"/>
        </w:rPr>
        <w:t>20</w:t>
      </w:r>
      <w:r>
        <w:rPr>
          <w:rFonts w:hint="eastAsia" w:ascii="黑体" w:hAnsi="Times New Roman" w:eastAsia="黑体" w:cs="黑体"/>
          <w:b/>
          <w:bCs/>
          <w:sz w:val="40"/>
          <w:szCs w:val="32"/>
        </w:rPr>
        <w:t>2</w:t>
      </w:r>
      <w:r>
        <w:rPr>
          <w:rFonts w:hint="eastAsia" w:ascii="黑体" w:hAnsi="Times New Roman" w:eastAsia="黑体" w:cs="黑体"/>
          <w:b/>
          <w:bCs/>
          <w:sz w:val="40"/>
          <w:szCs w:val="32"/>
          <w:lang w:val="en-US" w:eastAsia="zh-CN"/>
        </w:rPr>
        <w:t>3</w:t>
      </w:r>
      <w:r>
        <w:rPr>
          <w:rFonts w:hint="eastAsia" w:ascii="黑体" w:hAnsi="Times New Roman" w:eastAsia="黑体" w:cs="黑体"/>
          <w:b/>
          <w:bCs/>
          <w:sz w:val="40"/>
          <w:szCs w:val="32"/>
        </w:rPr>
        <w:t>年度部门预算情况说明</w:t>
      </w:r>
    </w:p>
    <w:p w14:paraId="015E775A"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</w:p>
    <w:p w14:paraId="0F5C3BBC"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一、部门收支总体情况说明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            </w:t>
      </w:r>
    </w:p>
    <w:p w14:paraId="563823D8"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年收入总计373.21万元，支出总计373.21万元，与202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年相比，收支总计各增加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302.52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427.95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%。主要原因：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增加创建全国文明城市工作经费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27E6C1C">
      <w:pPr>
        <w:keepNext w:val="0"/>
        <w:keepLines w:val="0"/>
        <w:pageBreakBefore w:val="0"/>
        <w:widowControl w:val="0"/>
        <w:wordWrap/>
        <w:topLinePunct w:val="0"/>
        <w:bidi w:val="0"/>
        <w:spacing w:line="58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二、部门收入总体情况说明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        </w:t>
      </w:r>
    </w:p>
    <w:p w14:paraId="414EE455"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年收入合计373.21万元，其中：一般公共预算373.21万元; 政府性基金收入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万元；专户管理的教育收费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万元；国有资本经营预算收入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万元；事业收入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万元；经营收入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万元；其他收入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 w14:paraId="6C624E08">
      <w:pPr>
        <w:keepNext w:val="0"/>
        <w:keepLines w:val="0"/>
        <w:pageBreakBefore w:val="0"/>
        <w:widowControl w:val="0"/>
        <w:wordWrap/>
        <w:topLinePunct w:val="0"/>
        <w:bidi w:val="0"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三、部门支出总体情况说明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               </w:t>
      </w:r>
    </w:p>
    <w:p w14:paraId="4E409F57"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年支出合计373.21万元，其中：基本支出43.21万元，占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11.58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%；项目支出330万元，占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88.42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 w14:paraId="07AD609D">
      <w:pPr>
        <w:keepNext w:val="0"/>
        <w:keepLines w:val="0"/>
        <w:pageBreakBefore w:val="0"/>
        <w:widowControl w:val="0"/>
        <w:wordWrap/>
        <w:topLinePunct w:val="0"/>
        <w:bidi w:val="0"/>
        <w:spacing w:line="580" w:lineRule="exact"/>
        <w:ind w:firstLine="640" w:firstLineChars="200"/>
        <w:textAlignment w:val="auto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四、财政拨款收支总体情况说明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</w:t>
      </w:r>
    </w:p>
    <w:p w14:paraId="1FB233F0"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年一般公共预算收支预算373.21万元，政府性基金收支预算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万元。与 202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年相比，一般公共预算收支预算增加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302.52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427.95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%，主要原因：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增加创建全国文明城市工作经费。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政府性基金收支预算增加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%。主要原因：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我部门今年及上年无政府性基金支出预算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272E5A8">
      <w:pPr>
        <w:keepNext w:val="0"/>
        <w:keepLines w:val="0"/>
        <w:pageBreakBefore w:val="0"/>
        <w:widowControl w:val="0"/>
        <w:wordWrap/>
        <w:topLinePunct w:val="0"/>
        <w:bidi w:val="0"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五、一般公共预算支出情况说明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           </w:t>
      </w:r>
    </w:p>
    <w:p w14:paraId="24C1FF84"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一般公共预算支出年初预算为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373.21万元，其中：基本支出43.21万元，占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11.58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%；项目支出330万元，占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88.42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 w14:paraId="6AD1E15E">
      <w:pPr>
        <w:keepNext w:val="0"/>
        <w:keepLines w:val="0"/>
        <w:pageBreakBefore w:val="0"/>
        <w:widowControl w:val="0"/>
        <w:wordWrap/>
        <w:topLinePunct w:val="0"/>
        <w:bidi w:val="0"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六、</w:t>
      </w:r>
      <w:r>
        <w:rPr>
          <w:rFonts w:hint="eastAsia" w:ascii="黑体" w:hAnsi="黑体" w:eastAsia="黑体"/>
          <w:sz w:val="32"/>
          <w:szCs w:val="32"/>
        </w:rPr>
        <w:t>一般公共预算</w:t>
      </w:r>
      <w:r>
        <w:rPr>
          <w:rFonts w:hint="eastAsia" w:ascii="黑体" w:hAnsi="黑体" w:eastAsia="黑体"/>
          <w:sz w:val="32"/>
          <w:szCs w:val="32"/>
          <w:lang w:eastAsia="zh-CN"/>
        </w:rPr>
        <w:t>基本</w:t>
      </w:r>
      <w:r>
        <w:rPr>
          <w:rFonts w:hint="eastAsia" w:ascii="黑体" w:hAnsi="黑体" w:eastAsia="黑体"/>
          <w:sz w:val="32"/>
          <w:szCs w:val="32"/>
        </w:rPr>
        <w:t>支出情况说明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           </w:t>
      </w:r>
    </w:p>
    <w:p w14:paraId="4C9733DC"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Courier New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2023年一般公共预算基本支出年初预算为43.21万元，其中：人员经费42.11万元，占97.45%；公用经费1.1万元，占2.55%。</w:t>
      </w:r>
    </w:p>
    <w:p w14:paraId="22E49A89">
      <w:pPr>
        <w:keepNext w:val="0"/>
        <w:keepLines w:val="0"/>
        <w:pageBreakBefore w:val="0"/>
        <w:widowControl w:val="0"/>
        <w:numPr>
          <w:ilvl w:val="0"/>
          <w:numId w:val="2"/>
        </w:numPr>
        <w:wordWrap/>
        <w:topLinePunct w:val="0"/>
        <w:bidi w:val="0"/>
        <w:spacing w:line="580" w:lineRule="exact"/>
        <w:ind w:firstLine="640" w:firstLineChars="200"/>
        <w:textAlignment w:val="auto"/>
        <w:rPr>
          <w:rFonts w:hint="eastAsia" w:ascii="黑体" w:hAnsi="Times New Roman" w:eastAsia="黑体" w:cs="黑体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一般公共预算“三公”经费支出情况说明</w:t>
      </w:r>
    </w:p>
    <w:p w14:paraId="0589655B"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topLinePunct w:val="0"/>
        <w:bidi w:val="0"/>
        <w:spacing w:line="580" w:lineRule="exact"/>
        <w:ind w:firstLine="640" w:firstLineChars="200"/>
        <w:textAlignment w:val="auto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我部门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sz w:val="32"/>
          <w:szCs w:val="32"/>
        </w:rPr>
        <w:t>年“三公”经费预算为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万元。</w:t>
      </w:r>
      <w:r>
        <w:rPr>
          <w:rFonts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sz w:val="32"/>
          <w:szCs w:val="32"/>
        </w:rPr>
        <w:t>年“三公”经费支出预算数比</w:t>
      </w:r>
      <w:r>
        <w:rPr>
          <w:rFonts w:ascii="仿宋_GB2312" w:hAnsi="宋体" w:eastAsia="仿宋_GB2312" w:cs="Courier New"/>
          <w:sz w:val="32"/>
          <w:szCs w:val="32"/>
        </w:rPr>
        <w:t xml:space="preserve"> 20</w:t>
      </w:r>
      <w:r>
        <w:rPr>
          <w:rFonts w:hint="eastAsia" w:ascii="仿宋_GB2312" w:hAnsi="宋体" w:eastAsia="仿宋_GB2312" w:cs="Courier New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sz w:val="32"/>
          <w:szCs w:val="32"/>
        </w:rPr>
        <w:t>年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减少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0.35</w:t>
      </w:r>
      <w:r>
        <w:rPr>
          <w:rFonts w:hint="eastAsia" w:ascii="仿宋_GB2312" w:hAnsi="宋体" w:eastAsia="仿宋_GB2312" w:cs="Courier New"/>
          <w:sz w:val="32"/>
          <w:szCs w:val="32"/>
        </w:rPr>
        <w:t>万元。</w:t>
      </w:r>
    </w:p>
    <w:p w14:paraId="36B62727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具体支出情况如下：</w:t>
      </w:r>
    </w:p>
    <w:p w14:paraId="57408FC2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39" w:firstLineChars="200"/>
        <w:textAlignment w:val="auto"/>
        <w:rPr>
          <w:rFonts w:ascii="仿宋_GB2312" w:hAnsi="宋体" w:eastAsia="仿宋_GB2312" w:cs="Courier New"/>
          <w:b w:val="0"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（一）因公出国（境）费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Times New Roman" w:eastAsia="仿宋_GB2312" w:cs="仿宋_GB2312"/>
          <w:spacing w:val="-1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</w:rPr>
        <w:t>主要用于单位工作人员公务出国（境）的住宿费、旅费、伙食补助费、杂费、培训费等支出。因公出国（境）费预算数与</w:t>
      </w:r>
      <w:r>
        <w:rPr>
          <w:rFonts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sz w:val="32"/>
          <w:szCs w:val="32"/>
        </w:rPr>
        <w:t>年相比，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万元。主要原因：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我单位无因公出国（境）费支出</w:t>
      </w:r>
      <w:r>
        <w:rPr>
          <w:rFonts w:hint="eastAsia" w:ascii="仿宋_GB2312" w:hAnsi="宋体" w:eastAsia="仿宋_GB2312" w:cs="Courier New"/>
          <w:b w:val="0"/>
          <w:bCs/>
          <w:color w:val="auto"/>
          <w:sz w:val="32"/>
          <w:szCs w:val="32"/>
        </w:rPr>
        <w:t>。</w:t>
      </w:r>
    </w:p>
    <w:p w14:paraId="5DF50C8A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39" w:firstLineChars="200"/>
        <w:textAlignment w:val="auto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（二）公务用车购置及运行费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Courier New"/>
          <w:sz w:val="32"/>
          <w:szCs w:val="32"/>
        </w:rPr>
        <w:t>元，其中，公务用车购置费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万元；公务用车运行维护费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万元，主要用于开展工作所需公务用车的燃料费、维修费、过路过桥费、保险费、安全奖励费用等支出。公务用车购置费预算数与</w:t>
      </w:r>
      <w:r>
        <w:rPr>
          <w:rFonts w:ascii="仿宋_GB2312" w:hAnsi="宋体" w:eastAsia="仿宋_GB2312" w:cs="Courier New"/>
          <w:sz w:val="32"/>
          <w:szCs w:val="32"/>
        </w:rPr>
        <w:t xml:space="preserve"> 20</w:t>
      </w:r>
      <w:r>
        <w:rPr>
          <w:rFonts w:hint="eastAsia" w:ascii="仿宋_GB2312" w:hAnsi="宋体" w:eastAsia="仿宋_GB2312" w:cs="Courier New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sz w:val="32"/>
          <w:szCs w:val="32"/>
        </w:rPr>
        <w:t>年相比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Courier New"/>
          <w:sz w:val="32"/>
          <w:szCs w:val="32"/>
        </w:rPr>
        <w:t>主要原因：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我单位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无公务用车</w:t>
      </w:r>
      <w:r>
        <w:rPr>
          <w:rFonts w:hint="eastAsia" w:ascii="仿宋_GB2312" w:hAnsi="宋体" w:eastAsia="仿宋_GB2312" w:cs="Courier New"/>
          <w:sz w:val="32"/>
          <w:szCs w:val="32"/>
        </w:rPr>
        <w:t>。公务用车运行维护费预算数比</w:t>
      </w:r>
      <w:r>
        <w:rPr>
          <w:rFonts w:ascii="仿宋_GB2312" w:hAnsi="宋体" w:eastAsia="仿宋_GB2312" w:cs="Courier New"/>
          <w:sz w:val="32"/>
          <w:szCs w:val="32"/>
        </w:rPr>
        <w:t xml:space="preserve"> 20</w:t>
      </w:r>
      <w:r>
        <w:rPr>
          <w:rFonts w:hint="eastAsia" w:ascii="仿宋_GB2312" w:hAnsi="宋体" w:eastAsia="仿宋_GB2312" w:cs="Courier New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sz w:val="32"/>
          <w:szCs w:val="32"/>
        </w:rPr>
        <w:t>年</w:t>
      </w:r>
      <w:bookmarkStart w:id="0" w:name="OLE_LINK1"/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</w:t>
      </w:r>
      <w:bookmarkEnd w:id="0"/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Courier New"/>
          <w:sz w:val="32"/>
          <w:szCs w:val="32"/>
        </w:rPr>
        <w:t>主要原因：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我单位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无公务用车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 w14:paraId="6EA1BD36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39" w:firstLineChars="200"/>
        <w:textAlignment w:val="auto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（三）公务接待费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万元，主要用于按规定开支的各类公务接待（含外宾接待）支出。公务接待费预算数比</w:t>
      </w:r>
      <w:r>
        <w:rPr>
          <w:rFonts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sz w:val="32"/>
          <w:szCs w:val="32"/>
        </w:rPr>
        <w:t>年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0.35</w:t>
      </w:r>
      <w:r>
        <w:rPr>
          <w:rFonts w:hint="eastAsia" w:ascii="仿宋_GB2312" w:hAnsi="宋体" w:eastAsia="仿宋_GB2312" w:cs="Courier New"/>
          <w:sz w:val="32"/>
          <w:szCs w:val="32"/>
        </w:rPr>
        <w:t>万元。主要原因：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厉行节约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 w14:paraId="47A0CEB6">
      <w:pPr>
        <w:keepNext w:val="0"/>
        <w:keepLines w:val="0"/>
        <w:pageBreakBefore w:val="0"/>
        <w:widowControl w:val="0"/>
        <w:wordWrap/>
        <w:topLinePunct w:val="0"/>
        <w:bidi w:val="0"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八、政府性基金预算支出情况说明</w:t>
      </w:r>
    </w:p>
    <w:p w14:paraId="1111B91D">
      <w:pPr>
        <w:keepNext w:val="0"/>
        <w:keepLines w:val="0"/>
        <w:pageBreakBefore w:val="0"/>
        <w:widowControl w:val="0"/>
        <w:wordWrap/>
        <w:topLinePunct w:val="0"/>
        <w:bidi w:val="0"/>
        <w:spacing w:line="580" w:lineRule="exact"/>
        <w:ind w:firstLine="640" w:firstLineChars="200"/>
        <w:textAlignment w:val="auto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我部门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2023年没有使用政府性基金预算拨款安排的支出。</w:t>
      </w:r>
    </w:p>
    <w:p w14:paraId="0E11A853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580" w:lineRule="exact"/>
        <w:ind w:firstLine="643" w:firstLineChars="200"/>
        <w:jc w:val="left"/>
        <w:textAlignment w:val="auto"/>
        <w:rPr>
          <w:rFonts w:ascii="仿宋_GB2312" w:hAnsi="Times New Roman" w:eastAsia="仿宋_GB2312" w:cs="仿宋_GB2312"/>
          <w:b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shd w:val="clear" w:color="auto" w:fill="FFFFFF"/>
          <w:lang w:eastAsia="zh-CN"/>
        </w:rPr>
        <w:t>九、</w:t>
      </w:r>
      <w:r>
        <w:rPr>
          <w:rFonts w:hint="eastAsia" w:ascii="仿宋_GB2312" w:eastAsia="仿宋_GB2312"/>
          <w:b/>
          <w:color w:val="000000"/>
          <w:sz w:val="32"/>
          <w:szCs w:val="32"/>
          <w:shd w:val="clear" w:color="auto" w:fill="FFFFFF"/>
        </w:rPr>
        <w:t>其他重要事项的情况说明</w:t>
      </w:r>
    </w:p>
    <w:p w14:paraId="23ADD246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（一）机关运行经费支出情况</w:t>
      </w:r>
    </w:p>
    <w:p w14:paraId="7369FE5F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sz w:val="32"/>
          <w:szCs w:val="32"/>
        </w:rPr>
        <w:t>年机关运行经费支出预算</w:t>
      </w:r>
      <w:r>
        <w:rPr>
          <w:rFonts w:hint="eastAsia" w:ascii="仿宋_GB2312" w:hAnsi="Times New Roman" w:eastAsia="仿宋_GB2312" w:cs="仿宋_GB2312"/>
          <w:b w:val="0"/>
          <w:bCs/>
          <w:kern w:val="0"/>
          <w:sz w:val="32"/>
          <w:szCs w:val="32"/>
        </w:rPr>
        <w:t>2.59</w:t>
      </w:r>
      <w:r>
        <w:rPr>
          <w:rFonts w:hint="eastAsia" w:ascii="仿宋_GB2312" w:hAnsi="宋体" w:eastAsia="仿宋_GB2312" w:cs="Courier New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</w:rPr>
        <w:t>主要保障机构正常运行</w:t>
      </w:r>
      <w:r>
        <w:rPr>
          <w:rFonts w:hint="eastAsia" w:ascii="仿宋_GB2312" w:eastAsia="仿宋_GB2312"/>
          <w:sz w:val="32"/>
          <w:szCs w:val="32"/>
          <w:lang w:eastAsia="zh-CN"/>
        </w:rPr>
        <w:t>及正常履职需要所需支出，包括公用经费、公务交通补贴、工会经费、职工福利等。</w:t>
      </w:r>
    </w:p>
    <w:p w14:paraId="66EC37CE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（二）政府采购支出情况</w:t>
      </w:r>
    </w:p>
    <w:p w14:paraId="39E20B62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楷体_GB2312" w:hAnsi="Times New Roman" w:eastAsia="楷体_GB2312" w:cs="仿宋_GB2312"/>
          <w:b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年政府采购预算安排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万元，其中：政府采购货物预算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万元、政府采购工程预算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eastAsia="仿宋_GB2312"/>
          <w:sz w:val="32"/>
          <w:szCs w:val="32"/>
        </w:rPr>
        <w:t>万元、政府采购服务预算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eastAsia="仿宋_GB2312"/>
          <w:sz w:val="32"/>
          <w:szCs w:val="32"/>
        </w:rPr>
        <w:t>万元。</w:t>
      </w:r>
    </w:p>
    <w:p w14:paraId="04433CFE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580" w:lineRule="exact"/>
        <w:ind w:firstLine="482" w:firstLineChars="150"/>
        <w:jc w:val="left"/>
        <w:textAlignment w:val="auto"/>
        <w:rPr>
          <w:rFonts w:hint="eastAsia" w:ascii="仿宋_GB2312" w:hAnsi="Times New Roman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（三）</w:t>
      </w:r>
      <w:r>
        <w:rPr>
          <w:rFonts w:hint="eastAsia" w:ascii="仿宋_GB2312" w:hAnsi="Times New Roman" w:eastAsia="仿宋_GB2312" w:cs="仿宋_GB2312"/>
          <w:b/>
          <w:sz w:val="32"/>
          <w:szCs w:val="32"/>
        </w:rPr>
        <w:t>绩效目标</w:t>
      </w:r>
      <w:r>
        <w:rPr>
          <w:rFonts w:hint="eastAsia" w:ascii="仿宋_GB2312" w:hAnsi="Times New Roman" w:eastAsia="仿宋_GB2312" w:cs="仿宋_GB2312"/>
          <w:b/>
          <w:sz w:val="32"/>
          <w:szCs w:val="32"/>
          <w:lang w:eastAsia="zh-CN"/>
        </w:rPr>
        <w:t>设置情况</w:t>
      </w:r>
    </w:p>
    <w:p w14:paraId="1A3AC5C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我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部门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2023年预算项目分别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从项目产出、项目效益、项目满意度等方面设立了绩效目标，综合反映了预算的数量、质量，社会经济效益、可持续影响及服务对象满意度等情况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。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本部门没有重点项目，所以没有重点项目绩效。</w:t>
      </w:r>
      <w:bookmarkStart w:id="1" w:name="_GoBack"/>
      <w:bookmarkEnd w:id="1"/>
    </w:p>
    <w:p w14:paraId="1D41A3D4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（四）国有资产占用情况。</w:t>
      </w:r>
    </w:p>
    <w:p w14:paraId="66763E57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宋体" w:eastAsia="仿宋_GB2312" w:cs="Courier New"/>
          <w:sz w:val="32"/>
          <w:szCs w:val="32"/>
        </w:rPr>
      </w:pPr>
      <w:r>
        <w:rPr>
          <w:rFonts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sz w:val="32"/>
          <w:szCs w:val="32"/>
        </w:rPr>
        <w:t>年末，我部门共有车辆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辆，其中：一般公务用车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辆、一般执法执勤用车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辆、特种专业技术用车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辆，其他用车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辆；单价</w:t>
      </w:r>
      <w:r>
        <w:rPr>
          <w:rFonts w:ascii="仿宋_GB2312" w:hAnsi="宋体" w:eastAsia="仿宋_GB2312" w:cs="Courier New"/>
          <w:sz w:val="32"/>
          <w:szCs w:val="32"/>
        </w:rPr>
        <w:t>50</w:t>
      </w:r>
      <w:r>
        <w:rPr>
          <w:rFonts w:hint="eastAsia" w:ascii="仿宋_GB2312" w:hAnsi="宋体" w:eastAsia="仿宋_GB2312" w:cs="Courier New"/>
          <w:sz w:val="32"/>
          <w:szCs w:val="32"/>
        </w:rPr>
        <w:t>万元以上通用设备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台（套），单位价值</w:t>
      </w:r>
      <w:r>
        <w:rPr>
          <w:rFonts w:ascii="仿宋_GB2312" w:hAnsi="宋体" w:eastAsia="仿宋_GB2312" w:cs="Courier New"/>
          <w:sz w:val="32"/>
          <w:szCs w:val="32"/>
        </w:rPr>
        <w:t>100</w:t>
      </w:r>
      <w:r>
        <w:rPr>
          <w:rFonts w:hint="eastAsia" w:ascii="仿宋_GB2312" w:hAnsi="宋体" w:eastAsia="仿宋_GB2312" w:cs="Courier New"/>
          <w:sz w:val="32"/>
          <w:szCs w:val="32"/>
        </w:rPr>
        <w:t>万元以上专用设备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台（套）。</w:t>
      </w:r>
    </w:p>
    <w:p w14:paraId="2E15EA9A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ascii="仿宋_GB2312" w:hAnsi="宋体" w:eastAsia="仿宋_GB2312" w:cs="Courier New"/>
          <w:b/>
          <w:sz w:val="32"/>
          <w:szCs w:val="32"/>
        </w:rPr>
      </w:pPr>
      <w:r>
        <w:rPr>
          <w:rFonts w:hint="eastAsia" w:ascii="仿宋_GB2312" w:hAnsi="宋体" w:eastAsia="仿宋_GB2312" w:cs="Courier New"/>
          <w:b/>
          <w:sz w:val="32"/>
          <w:szCs w:val="32"/>
        </w:rPr>
        <w:t>（五）专项转移支付项目情况</w:t>
      </w:r>
    </w:p>
    <w:p w14:paraId="52E09AFB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我部门202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年没有专项转移支付项目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7D21435"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宋体" w:hAnsi="宋体" w:cs="黑体"/>
          <w:b/>
          <w:sz w:val="40"/>
          <w:szCs w:val="32"/>
        </w:rPr>
      </w:pPr>
    </w:p>
    <w:p w14:paraId="61E4B55E"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宋体" w:hAnsi="宋体" w:cs="黑体"/>
          <w:b/>
          <w:sz w:val="40"/>
          <w:szCs w:val="32"/>
        </w:rPr>
      </w:pPr>
      <w:r>
        <w:rPr>
          <w:rFonts w:hint="eastAsia" w:ascii="宋体" w:hAnsi="宋体" w:cs="黑体"/>
          <w:b/>
          <w:sz w:val="40"/>
          <w:szCs w:val="32"/>
        </w:rPr>
        <w:t>第三部分</w:t>
      </w:r>
      <w:r>
        <w:rPr>
          <w:rFonts w:hint="eastAsia" w:ascii="宋体" w:hAnsi="宋体" w:cs="黑体"/>
          <w:b/>
          <w:sz w:val="40"/>
          <w:szCs w:val="32"/>
          <w:lang w:val="en-US" w:eastAsia="zh-CN"/>
        </w:rPr>
        <w:t xml:space="preserve"> </w:t>
      </w:r>
      <w:r>
        <w:rPr>
          <w:rFonts w:hint="eastAsia" w:ascii="宋体" w:hAnsi="宋体" w:cs="黑体"/>
          <w:b/>
          <w:sz w:val="40"/>
          <w:szCs w:val="32"/>
        </w:rPr>
        <w:t>名词解释</w:t>
      </w:r>
    </w:p>
    <w:p w14:paraId="132F0CB4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Courier New"/>
          <w:sz w:val="32"/>
          <w:szCs w:val="32"/>
        </w:rPr>
      </w:pPr>
    </w:p>
    <w:p w14:paraId="01920409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一、财政拨款收入：是指同级财政当年拨付的资金。</w:t>
      </w:r>
    </w:p>
    <w:p w14:paraId="462EBC03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二、事业收入：是指事业单位开展专业活动及辅助活动所取得的收入。</w:t>
      </w:r>
    </w:p>
    <w:p w14:paraId="422331EB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三、其他收入：是指部门取得的除“财政拨款”、“事业收入”、“事业单位经营收入”等以外的收入。</w:t>
      </w:r>
      <w:r>
        <w:rPr>
          <w:rFonts w:ascii="仿宋_GB2312" w:hAnsi="宋体" w:eastAsia="仿宋_GB2312" w:cs="Courier New"/>
          <w:sz w:val="32"/>
          <w:szCs w:val="32"/>
        </w:rPr>
        <w:t xml:space="preserve"> </w:t>
      </w:r>
    </w:p>
    <w:p w14:paraId="31E05661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四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7B85AB08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五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>
        <w:rPr>
          <w:rFonts w:ascii="仿宋_GB2312" w:hAnsi="宋体" w:eastAsia="仿宋_GB2312" w:cs="Courier New"/>
          <w:sz w:val="32"/>
          <w:szCs w:val="32"/>
        </w:rPr>
        <w:t xml:space="preserve"> </w:t>
      </w:r>
      <w:r>
        <w:rPr>
          <w:rFonts w:hint="eastAsia" w:ascii="仿宋_GB2312" w:hAnsi="宋体" w:eastAsia="仿宋_GB2312" w:cs="Courier New"/>
          <w:sz w:val="32"/>
          <w:szCs w:val="32"/>
        </w:rPr>
        <w:t>支差额的基金）弥补当年收支缺口的资金。</w:t>
      </w:r>
    </w:p>
    <w:p w14:paraId="0B7216FC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六</w:t>
      </w:r>
      <w:r>
        <w:rPr>
          <w:rFonts w:hint="eastAsia" w:ascii="仿宋_GB2312" w:hAnsi="宋体" w:eastAsia="仿宋_GB2312" w:cs="Courier New"/>
          <w:sz w:val="32"/>
          <w:szCs w:val="32"/>
        </w:rPr>
        <w:t>、基本支出：是指为保障机构正常运转、完成日常工作任务所必需的开支，其内容包括人员经费和日常公用经费两部分。</w:t>
      </w:r>
    </w:p>
    <w:p w14:paraId="3406A60E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七</w:t>
      </w:r>
      <w:r>
        <w:rPr>
          <w:rFonts w:hint="eastAsia" w:ascii="仿宋_GB2312" w:hAnsi="宋体" w:eastAsia="仿宋_GB2312" w:cs="Courier New"/>
          <w:sz w:val="32"/>
          <w:szCs w:val="32"/>
        </w:rPr>
        <w:t>、项目支出：是指在基本支出之外，为完成特定的行政工作任务或事业发展目标所发生的支出。</w:t>
      </w:r>
    </w:p>
    <w:p w14:paraId="3A814487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八</w:t>
      </w:r>
      <w:r>
        <w:rPr>
          <w:rFonts w:hint="eastAsia" w:ascii="仿宋_GB2312" w:hAnsi="宋体" w:eastAsia="仿宋_GB2312" w:cs="Courier New"/>
          <w:sz w:val="32"/>
          <w:szCs w:val="32"/>
        </w:rPr>
        <w:t>、“三公”经费：是指纳入同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14:paraId="68E02E49"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宋体" w:hAnsi="宋体" w:cs="黑体"/>
          <w:b/>
          <w:sz w:val="40"/>
          <w:szCs w:val="32"/>
        </w:rPr>
      </w:pPr>
    </w:p>
    <w:p w14:paraId="00E15443"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宋体" w:hAnsi="宋体" w:cs="黑体"/>
          <w:b/>
          <w:sz w:val="40"/>
          <w:szCs w:val="32"/>
        </w:rPr>
      </w:pPr>
      <w:r>
        <w:rPr>
          <w:rFonts w:hint="eastAsia" w:ascii="宋体" w:hAnsi="宋体" w:cs="黑体"/>
          <w:b/>
          <w:sz w:val="40"/>
          <w:szCs w:val="32"/>
        </w:rPr>
        <w:t>第四部分 附件202</w:t>
      </w:r>
      <w:r>
        <w:rPr>
          <w:rFonts w:hint="eastAsia" w:ascii="宋体" w:hAnsi="宋体" w:cs="黑体"/>
          <w:b/>
          <w:sz w:val="40"/>
          <w:szCs w:val="32"/>
          <w:lang w:val="en-US" w:eastAsia="zh-CN"/>
        </w:rPr>
        <w:t>3</w:t>
      </w:r>
      <w:r>
        <w:rPr>
          <w:rFonts w:hint="eastAsia" w:ascii="宋体" w:hAnsi="宋体" w:cs="黑体"/>
          <w:b/>
          <w:sz w:val="40"/>
          <w:szCs w:val="32"/>
        </w:rPr>
        <w:t>年度部门预算表</w:t>
      </w:r>
    </w:p>
    <w:p w14:paraId="4DCD0524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4FEFC792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ascii="仿宋_GB2312" w:hAnsi="仿宋_GB2312" w:eastAsia="仿宋_GB2312" w:cs="仿宋_GB2312"/>
          <w:sz w:val="32"/>
          <w:szCs w:val="32"/>
        </w:rPr>
        <w:sectPr>
          <w:headerReference r:id="rId3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087E3A08"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3755390" cy="6183630"/>
            <wp:effectExtent l="0" t="0" r="3810" b="12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5390" cy="618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EAA83"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0F8B6566"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62809666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333375</wp:posOffset>
            </wp:positionV>
            <wp:extent cx="8863330" cy="2674620"/>
            <wp:effectExtent l="0" t="0" r="1270" b="508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AE91A2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721CFE21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49F64D63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3DDD0814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2E4405B3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41046B15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2359DEEF"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8855710" cy="4327525"/>
            <wp:effectExtent l="0" t="0" r="8890" b="317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5710" cy="432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3A695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420215D7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2C77BCBE">
      <w:pPr>
        <w:adjustRightInd w:val="0"/>
        <w:snapToGrid w:val="0"/>
        <w:spacing w:line="360" w:lineRule="auto"/>
        <w:jc w:val="both"/>
        <w:rPr>
          <w:rFonts w:ascii="仿宋_GB2312" w:hAnsi="仿宋_GB2312" w:eastAsia="仿宋_GB2312" w:cs="仿宋_GB2312"/>
          <w:sz w:val="32"/>
          <w:szCs w:val="32"/>
        </w:rPr>
      </w:pPr>
    </w:p>
    <w:p w14:paraId="6D7EE6C6"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7800975" cy="6361430"/>
            <wp:effectExtent l="0" t="0" r="9525" b="127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00975" cy="636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8C6BB"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8855710" cy="4362450"/>
            <wp:effectExtent l="0" t="0" r="8890" b="635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5571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CAB7E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4BBAD31C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0D2185AD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65109323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55A6A25B"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7552690" cy="5986780"/>
            <wp:effectExtent l="0" t="0" r="3810" b="762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598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72EFB"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01394224"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8854440" cy="5044440"/>
            <wp:effectExtent l="0" t="0" r="10160" b="1016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504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87C1B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1FBD2CC8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1FD6A50A"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8862695" cy="3083560"/>
            <wp:effectExtent l="0" t="0" r="1905" b="254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62695" cy="308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BA16E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23A10EB6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62652016">
      <w:pPr>
        <w:adjustRightInd w:val="0"/>
        <w:snapToGrid w:val="0"/>
        <w:spacing w:line="360" w:lineRule="auto"/>
        <w:ind w:firstLine="400" w:firstLine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本单位</w:t>
      </w:r>
      <w:r>
        <w:rPr>
          <w:rFonts w:hint="eastAsia" w:ascii="仿宋_GB2312" w:hAnsi="仿宋_GB2312" w:eastAsia="仿宋_GB2312" w:cs="仿宋_GB2312"/>
          <w:color w:val="000000" w:themeColor="text1"/>
          <w:sz w:val="40"/>
          <w:szCs w:val="32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仿宋_GB2312" w:hAnsi="仿宋_GB2312" w:eastAsia="仿宋_GB2312" w:cs="仿宋_GB2312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没有</w:t>
      </w:r>
      <w:r>
        <w:rPr>
          <w:rFonts w:hint="eastAsia" w:ascii="仿宋_GB2312" w:hAnsi="仿宋_GB2312" w:eastAsia="仿宋_GB2312" w:cs="仿宋_GB2312"/>
          <w:color w:val="000000" w:themeColor="text1"/>
          <w:sz w:val="40"/>
          <w:szCs w:val="32"/>
          <w:lang w:eastAsia="zh-CN"/>
          <w14:textFill>
            <w14:solidFill>
              <w14:schemeClr w14:val="tx1"/>
            </w14:solidFill>
          </w14:textFill>
        </w:rPr>
        <w:t>三公经费</w:t>
      </w:r>
      <w:r>
        <w:rPr>
          <w:rFonts w:hint="eastAsia" w:ascii="仿宋_GB2312" w:hAnsi="仿宋_GB2312" w:eastAsia="仿宋_GB2312" w:cs="仿宋_GB2312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资金</w:t>
      </w:r>
      <w:r>
        <w:rPr>
          <w:rFonts w:hint="eastAsia" w:ascii="仿宋_GB2312" w:hAnsi="仿宋_GB2312" w:eastAsia="仿宋_GB2312" w:cs="仿宋_GB2312"/>
          <w:color w:val="000000" w:themeColor="text1"/>
          <w:sz w:val="40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6B8BF51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0FE29067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426E4AA0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0CF3AEA7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7485B828"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8861425" cy="2965450"/>
            <wp:effectExtent l="0" t="0" r="3175" b="635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61425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DD2C3">
      <w:pPr>
        <w:adjustRightInd w:val="0"/>
        <w:snapToGrid w:val="0"/>
        <w:spacing w:line="360" w:lineRule="auto"/>
      </w:pPr>
    </w:p>
    <w:p w14:paraId="4ED0DF79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3C1F7D85">
      <w:pPr>
        <w:adjustRightInd w:val="0"/>
        <w:snapToGrid w:val="0"/>
        <w:spacing w:line="360" w:lineRule="auto"/>
        <w:ind w:firstLine="1080" w:firstLineChars="300"/>
        <w:rPr>
          <w:rFonts w:hint="default" w:ascii="仿宋_GB2312" w:hAnsi="仿宋_GB2312" w:eastAsia="仿宋_GB2312" w:cs="仿宋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本单位</w:t>
      </w:r>
      <w:r>
        <w:rPr>
          <w:rFonts w:hint="eastAsia" w:ascii="仿宋_GB2312" w:hAnsi="仿宋_GB2312" w:eastAsia="仿宋_GB2312" w:cs="仿宋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2023年没有政府性基金预算支出。</w:t>
      </w:r>
    </w:p>
    <w:p w14:paraId="68C24475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4E449D66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02D72AD1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13335B3D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6F115D5B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drawing>
          <wp:inline distT="0" distB="0" distL="114300" distR="114300">
            <wp:extent cx="8857615" cy="4153535"/>
            <wp:effectExtent l="0" t="0" r="6985" b="12065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57615" cy="415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CD86D"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3334E342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39D86ACE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4B36E985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544B0636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47D54B50"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drawing>
          <wp:inline distT="0" distB="0" distL="114300" distR="114300">
            <wp:extent cx="2274570" cy="6186170"/>
            <wp:effectExtent l="0" t="0" r="11430" b="1143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74570" cy="618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E5E2F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3379975D"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drawing>
          <wp:inline distT="0" distB="0" distL="114300" distR="114300">
            <wp:extent cx="8854440" cy="1913890"/>
            <wp:effectExtent l="0" t="0" r="10160" b="381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DE9A7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779FC738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3CF4E01E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0B361D61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5CFD158B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25A03EC7">
      <w:pPr>
        <w:adjustRightInd w:val="0"/>
        <w:snapToGrid w:val="0"/>
        <w:spacing w:line="360" w:lineRule="auto"/>
      </w:pPr>
    </w:p>
    <w:p w14:paraId="56347E96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65B8D1F4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287ABD9A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5F1CBAC5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sectPr>
      <w:pgSz w:w="16838" w:h="11906" w:orient="landscape"/>
      <w:pgMar w:top="1077" w:right="1440" w:bottom="107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8C51B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7471E6"/>
    <w:multiLevelType w:val="singleLevel"/>
    <w:tmpl w:val="417471E6"/>
    <w:lvl w:ilvl="0" w:tentative="0">
      <w:start w:val="7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43E2796E"/>
    <w:multiLevelType w:val="multilevel"/>
    <w:tmpl w:val="43E2796E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MzUzOTBmNDdkZTRhYjAzOTE2NWIzMmE0ZmVjOWMifQ=="/>
  </w:docVars>
  <w:rsids>
    <w:rsidRoot w:val="006B7E0B"/>
    <w:rsid w:val="00026E9A"/>
    <w:rsid w:val="00044158"/>
    <w:rsid w:val="000445AA"/>
    <w:rsid w:val="000642D8"/>
    <w:rsid w:val="00073592"/>
    <w:rsid w:val="00080DD7"/>
    <w:rsid w:val="00091356"/>
    <w:rsid w:val="000A16EC"/>
    <w:rsid w:val="000A1FF3"/>
    <w:rsid w:val="000A2C68"/>
    <w:rsid w:val="000D2294"/>
    <w:rsid w:val="000E720F"/>
    <w:rsid w:val="000F6C8B"/>
    <w:rsid w:val="0010210A"/>
    <w:rsid w:val="00110824"/>
    <w:rsid w:val="00115771"/>
    <w:rsid w:val="00115915"/>
    <w:rsid w:val="0011799F"/>
    <w:rsid w:val="00135308"/>
    <w:rsid w:val="00142115"/>
    <w:rsid w:val="001422FF"/>
    <w:rsid w:val="001470AF"/>
    <w:rsid w:val="00160C6A"/>
    <w:rsid w:val="0016521F"/>
    <w:rsid w:val="00170A57"/>
    <w:rsid w:val="00172B5F"/>
    <w:rsid w:val="00175E9C"/>
    <w:rsid w:val="00184A45"/>
    <w:rsid w:val="00186BD2"/>
    <w:rsid w:val="00193277"/>
    <w:rsid w:val="001A21DA"/>
    <w:rsid w:val="001A3EB9"/>
    <w:rsid w:val="001B0AF0"/>
    <w:rsid w:val="001D4BA6"/>
    <w:rsid w:val="001D7273"/>
    <w:rsid w:val="001E0093"/>
    <w:rsid w:val="001E0F8C"/>
    <w:rsid w:val="001E7927"/>
    <w:rsid w:val="001F7F9B"/>
    <w:rsid w:val="00200BD7"/>
    <w:rsid w:val="00202EA8"/>
    <w:rsid w:val="002030EF"/>
    <w:rsid w:val="002510C2"/>
    <w:rsid w:val="00265B28"/>
    <w:rsid w:val="0026795F"/>
    <w:rsid w:val="00273D47"/>
    <w:rsid w:val="002750D3"/>
    <w:rsid w:val="0029168C"/>
    <w:rsid w:val="002A620A"/>
    <w:rsid w:val="002B2025"/>
    <w:rsid w:val="002C2A80"/>
    <w:rsid w:val="002C5AAE"/>
    <w:rsid w:val="002E3BE4"/>
    <w:rsid w:val="002E4313"/>
    <w:rsid w:val="002F22D2"/>
    <w:rsid w:val="002F3BB6"/>
    <w:rsid w:val="003352BA"/>
    <w:rsid w:val="00336785"/>
    <w:rsid w:val="00350476"/>
    <w:rsid w:val="0035195B"/>
    <w:rsid w:val="0035776D"/>
    <w:rsid w:val="003843F7"/>
    <w:rsid w:val="00390DEF"/>
    <w:rsid w:val="00392E25"/>
    <w:rsid w:val="003A0434"/>
    <w:rsid w:val="003A2DF5"/>
    <w:rsid w:val="003A6F18"/>
    <w:rsid w:val="003C5F21"/>
    <w:rsid w:val="003D744D"/>
    <w:rsid w:val="003E56DE"/>
    <w:rsid w:val="00401345"/>
    <w:rsid w:val="00404663"/>
    <w:rsid w:val="00420855"/>
    <w:rsid w:val="00432539"/>
    <w:rsid w:val="00451611"/>
    <w:rsid w:val="0047756A"/>
    <w:rsid w:val="00494F22"/>
    <w:rsid w:val="00495611"/>
    <w:rsid w:val="00495CEB"/>
    <w:rsid w:val="00496B7C"/>
    <w:rsid w:val="004974DC"/>
    <w:rsid w:val="004A35D2"/>
    <w:rsid w:val="004A4265"/>
    <w:rsid w:val="004A7AF2"/>
    <w:rsid w:val="004B1819"/>
    <w:rsid w:val="004C001F"/>
    <w:rsid w:val="004C13EB"/>
    <w:rsid w:val="004D5B4E"/>
    <w:rsid w:val="004F068A"/>
    <w:rsid w:val="004F1BCB"/>
    <w:rsid w:val="004F3DF3"/>
    <w:rsid w:val="00511219"/>
    <w:rsid w:val="00521104"/>
    <w:rsid w:val="0052193A"/>
    <w:rsid w:val="00523976"/>
    <w:rsid w:val="0054046E"/>
    <w:rsid w:val="00556950"/>
    <w:rsid w:val="00563E46"/>
    <w:rsid w:val="00567364"/>
    <w:rsid w:val="00577C4A"/>
    <w:rsid w:val="00577F81"/>
    <w:rsid w:val="00591F1A"/>
    <w:rsid w:val="00593810"/>
    <w:rsid w:val="00594E25"/>
    <w:rsid w:val="005B1D55"/>
    <w:rsid w:val="005B5A00"/>
    <w:rsid w:val="005C4D0C"/>
    <w:rsid w:val="005D1138"/>
    <w:rsid w:val="005D30D9"/>
    <w:rsid w:val="00600B18"/>
    <w:rsid w:val="0060297E"/>
    <w:rsid w:val="0064056E"/>
    <w:rsid w:val="00647DE6"/>
    <w:rsid w:val="00662E14"/>
    <w:rsid w:val="00666AC4"/>
    <w:rsid w:val="0067124D"/>
    <w:rsid w:val="00672799"/>
    <w:rsid w:val="00680781"/>
    <w:rsid w:val="006B1909"/>
    <w:rsid w:val="006B49B5"/>
    <w:rsid w:val="006B7E0B"/>
    <w:rsid w:val="006C3CD3"/>
    <w:rsid w:val="006C7564"/>
    <w:rsid w:val="006D6D49"/>
    <w:rsid w:val="006E4BF1"/>
    <w:rsid w:val="006F5265"/>
    <w:rsid w:val="006F5EEE"/>
    <w:rsid w:val="00700744"/>
    <w:rsid w:val="0071044E"/>
    <w:rsid w:val="00730F26"/>
    <w:rsid w:val="0073591F"/>
    <w:rsid w:val="007541DA"/>
    <w:rsid w:val="007656BD"/>
    <w:rsid w:val="007740BF"/>
    <w:rsid w:val="007829BC"/>
    <w:rsid w:val="0079641C"/>
    <w:rsid w:val="007B5898"/>
    <w:rsid w:val="007C1DF1"/>
    <w:rsid w:val="007C2AA9"/>
    <w:rsid w:val="007C788C"/>
    <w:rsid w:val="007E6790"/>
    <w:rsid w:val="007F7E98"/>
    <w:rsid w:val="00804322"/>
    <w:rsid w:val="008043D9"/>
    <w:rsid w:val="008122D8"/>
    <w:rsid w:val="00812F5C"/>
    <w:rsid w:val="00820FF9"/>
    <w:rsid w:val="00830E30"/>
    <w:rsid w:val="00833702"/>
    <w:rsid w:val="00833DBE"/>
    <w:rsid w:val="00850CE1"/>
    <w:rsid w:val="00852299"/>
    <w:rsid w:val="00860A29"/>
    <w:rsid w:val="00874331"/>
    <w:rsid w:val="00891536"/>
    <w:rsid w:val="0089458A"/>
    <w:rsid w:val="00894D24"/>
    <w:rsid w:val="00897148"/>
    <w:rsid w:val="008B72D5"/>
    <w:rsid w:val="008C14BF"/>
    <w:rsid w:val="008C7AD8"/>
    <w:rsid w:val="008D01B3"/>
    <w:rsid w:val="008D6560"/>
    <w:rsid w:val="008E07B1"/>
    <w:rsid w:val="008E4459"/>
    <w:rsid w:val="00923B00"/>
    <w:rsid w:val="009242BF"/>
    <w:rsid w:val="00926E26"/>
    <w:rsid w:val="00943D7C"/>
    <w:rsid w:val="00944A2D"/>
    <w:rsid w:val="00951DEF"/>
    <w:rsid w:val="00952BFE"/>
    <w:rsid w:val="009821A1"/>
    <w:rsid w:val="00987FE0"/>
    <w:rsid w:val="009A520C"/>
    <w:rsid w:val="009B7A51"/>
    <w:rsid w:val="00A216E6"/>
    <w:rsid w:val="00A330EC"/>
    <w:rsid w:val="00A34341"/>
    <w:rsid w:val="00A35A79"/>
    <w:rsid w:val="00A46E26"/>
    <w:rsid w:val="00A503E7"/>
    <w:rsid w:val="00A52337"/>
    <w:rsid w:val="00A52801"/>
    <w:rsid w:val="00A6267D"/>
    <w:rsid w:val="00A727EB"/>
    <w:rsid w:val="00A87DCF"/>
    <w:rsid w:val="00A90D9E"/>
    <w:rsid w:val="00A96CAF"/>
    <w:rsid w:val="00AC3C61"/>
    <w:rsid w:val="00AE549A"/>
    <w:rsid w:val="00B02CB9"/>
    <w:rsid w:val="00B10D6F"/>
    <w:rsid w:val="00B20C5F"/>
    <w:rsid w:val="00B21967"/>
    <w:rsid w:val="00B61D47"/>
    <w:rsid w:val="00B95A06"/>
    <w:rsid w:val="00BA362F"/>
    <w:rsid w:val="00BA4FA7"/>
    <w:rsid w:val="00BA58CE"/>
    <w:rsid w:val="00BA7185"/>
    <w:rsid w:val="00BB6662"/>
    <w:rsid w:val="00BC333E"/>
    <w:rsid w:val="00BE56FB"/>
    <w:rsid w:val="00BE716F"/>
    <w:rsid w:val="00C33C76"/>
    <w:rsid w:val="00C34784"/>
    <w:rsid w:val="00C435CB"/>
    <w:rsid w:val="00C436B8"/>
    <w:rsid w:val="00C437E8"/>
    <w:rsid w:val="00C831C5"/>
    <w:rsid w:val="00C83F94"/>
    <w:rsid w:val="00CA2F8F"/>
    <w:rsid w:val="00CA7ADA"/>
    <w:rsid w:val="00CB5AAE"/>
    <w:rsid w:val="00CB6DF5"/>
    <w:rsid w:val="00CD03AD"/>
    <w:rsid w:val="00CE3259"/>
    <w:rsid w:val="00CF1B5A"/>
    <w:rsid w:val="00D05ED0"/>
    <w:rsid w:val="00D12D03"/>
    <w:rsid w:val="00D137BC"/>
    <w:rsid w:val="00D15C54"/>
    <w:rsid w:val="00D23117"/>
    <w:rsid w:val="00D32932"/>
    <w:rsid w:val="00D43363"/>
    <w:rsid w:val="00D4466F"/>
    <w:rsid w:val="00D46069"/>
    <w:rsid w:val="00D53D97"/>
    <w:rsid w:val="00D609B7"/>
    <w:rsid w:val="00D6792C"/>
    <w:rsid w:val="00D8037E"/>
    <w:rsid w:val="00D8505C"/>
    <w:rsid w:val="00DA0C53"/>
    <w:rsid w:val="00DA0CAA"/>
    <w:rsid w:val="00DA458E"/>
    <w:rsid w:val="00DA6E83"/>
    <w:rsid w:val="00DB68B2"/>
    <w:rsid w:val="00DC0C6B"/>
    <w:rsid w:val="00DC3D97"/>
    <w:rsid w:val="00DC6FBB"/>
    <w:rsid w:val="00DC798D"/>
    <w:rsid w:val="00DF0DA6"/>
    <w:rsid w:val="00DF3140"/>
    <w:rsid w:val="00E133A9"/>
    <w:rsid w:val="00E20A7D"/>
    <w:rsid w:val="00E20E6F"/>
    <w:rsid w:val="00E21F3E"/>
    <w:rsid w:val="00E31EE0"/>
    <w:rsid w:val="00E33EBB"/>
    <w:rsid w:val="00E36AE5"/>
    <w:rsid w:val="00E371FE"/>
    <w:rsid w:val="00E3795E"/>
    <w:rsid w:val="00E37B7D"/>
    <w:rsid w:val="00E57174"/>
    <w:rsid w:val="00E57C5A"/>
    <w:rsid w:val="00E607D3"/>
    <w:rsid w:val="00E72785"/>
    <w:rsid w:val="00E776E0"/>
    <w:rsid w:val="00E913EB"/>
    <w:rsid w:val="00EC2B0B"/>
    <w:rsid w:val="00ED5B3D"/>
    <w:rsid w:val="00EE543C"/>
    <w:rsid w:val="00EF42A2"/>
    <w:rsid w:val="00F0089D"/>
    <w:rsid w:val="00F2113A"/>
    <w:rsid w:val="00F2137C"/>
    <w:rsid w:val="00F4533D"/>
    <w:rsid w:val="00F51FB3"/>
    <w:rsid w:val="00F754BD"/>
    <w:rsid w:val="00F77A8C"/>
    <w:rsid w:val="00F950F8"/>
    <w:rsid w:val="00FA0A5A"/>
    <w:rsid w:val="00FB158E"/>
    <w:rsid w:val="00FD0777"/>
    <w:rsid w:val="00FD6C1F"/>
    <w:rsid w:val="00FD729D"/>
    <w:rsid w:val="05532A0D"/>
    <w:rsid w:val="07DC4572"/>
    <w:rsid w:val="12FC701A"/>
    <w:rsid w:val="14B962E5"/>
    <w:rsid w:val="189C68A9"/>
    <w:rsid w:val="1AA05907"/>
    <w:rsid w:val="1AA556D9"/>
    <w:rsid w:val="1E107DD1"/>
    <w:rsid w:val="1EB34D6D"/>
    <w:rsid w:val="1EF33BA1"/>
    <w:rsid w:val="2BC2096A"/>
    <w:rsid w:val="2C35005E"/>
    <w:rsid w:val="2CB847EB"/>
    <w:rsid w:val="2E112405"/>
    <w:rsid w:val="2E5859B2"/>
    <w:rsid w:val="2FC73D1B"/>
    <w:rsid w:val="3171432E"/>
    <w:rsid w:val="33EF31E8"/>
    <w:rsid w:val="35610116"/>
    <w:rsid w:val="38F64E3A"/>
    <w:rsid w:val="3B007A89"/>
    <w:rsid w:val="3CFB4660"/>
    <w:rsid w:val="3EBF7D18"/>
    <w:rsid w:val="3FEC3BE7"/>
    <w:rsid w:val="43D62EB7"/>
    <w:rsid w:val="4647674A"/>
    <w:rsid w:val="49290AF3"/>
    <w:rsid w:val="494C289F"/>
    <w:rsid w:val="4AC6595C"/>
    <w:rsid w:val="4B911B6E"/>
    <w:rsid w:val="54A35BFD"/>
    <w:rsid w:val="55B66917"/>
    <w:rsid w:val="55ED6C72"/>
    <w:rsid w:val="5AD36B10"/>
    <w:rsid w:val="5B131D9A"/>
    <w:rsid w:val="721B7C41"/>
    <w:rsid w:val="72BA4DCB"/>
    <w:rsid w:val="79111DCE"/>
    <w:rsid w:val="795D3D1D"/>
    <w:rsid w:val="7CF3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link w:val="3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link w:val="4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link w:val="5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纯文本 Char"/>
    <w:link w:val="2"/>
    <w:semiHidden/>
    <w:qFormat/>
    <w:locked/>
    <w:uiPriority w:val="99"/>
    <w:rPr>
      <w:rFonts w:ascii="宋体" w:hAnsi="Courier New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2.png"/><Relationship Id="rId15" Type="http://schemas.openxmlformats.org/officeDocument/2006/relationships/image" Target="media/image11.emf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20</Pages>
  <Words>2607</Words>
  <Characters>2819</Characters>
  <Lines>30</Lines>
  <Paragraphs>8</Paragraphs>
  <TotalTime>0</TotalTime>
  <ScaleCrop>false</ScaleCrop>
  <LinksUpToDate>false</LinksUpToDate>
  <CharactersWithSpaces>2976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2019-06-11T00:19:00Z</dcterms:created>
  <dc:creator>lenovo</dc:creator>
  <cp:lastModifiedBy>Administrator</cp:lastModifiedBy>
  <cp:lastPrinted>2021-04-16T07:34:00Z</cp:lastPrinted>
  <dcterms:modified xsi:type="dcterms:W3CDTF">2024-10-11T00:52:04Z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AE600CEDE4E440E9A6E5F93E1A6D4273_13</vt:lpwstr>
  </property>
</Properties>
</file>