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widowControl/>
        <w:spacing w:before="0" w:beforeAutospacing="0" w:after="0" w:afterAutospacing="0" w:line="554" w:lineRule="exact"/>
        <w:ind w:left="0" w:leftChars="0" w:firstLine="0" w:firstLineChars="0"/>
        <w:rPr>
          <w:rFonts w:hint="eastAsia" w:ascii="CESI黑体-GB2312" w:hAnsi="CESI黑体-GB2312" w:eastAsia="CESI黑体-GB2312" w:cs="CESI黑体-GB2312"/>
          <w:sz w:val="32"/>
          <w:szCs w:val="32"/>
          <w:lang w:eastAsia="zh-CN"/>
        </w:rPr>
      </w:pPr>
    </w:p>
    <w:p>
      <w:pPr>
        <w:pageBreakBefore w:val="0"/>
        <w:widowControl w:val="0"/>
        <w:kinsoku/>
        <w:wordWrap/>
        <w:overflowPunct/>
        <w:topLinePunct w:val="0"/>
        <w:autoSpaceDE/>
        <w:autoSpaceDN/>
        <w:bidi w:val="0"/>
        <w:adjustRightInd/>
        <w:spacing w:line="560" w:lineRule="exact"/>
        <w:ind w:left="0" w:leftChars="0" w:firstLine="0" w:firstLineChars="0"/>
        <w:jc w:val="left"/>
        <w:textAlignment w:val="auto"/>
        <w:rPr>
          <w:rFonts w:hint="default" w:ascii="Times New Roman" w:hAnsi="Times New Roman" w:eastAsia="方正小标宋简体" w:cs="Times New Roman"/>
          <w:color w:val="auto"/>
          <w:sz w:val="56"/>
          <w:szCs w:val="56"/>
          <w:u w:val="none"/>
          <w:lang w:eastAsia="zh-CN"/>
        </w:rPr>
      </w:pPr>
    </w:p>
    <w:p>
      <w:pPr>
        <w:pageBreakBefore w:val="0"/>
        <w:widowControl w:val="0"/>
        <w:kinsoku/>
        <w:wordWrap/>
        <w:overflowPunct/>
        <w:topLinePunct w:val="0"/>
        <w:autoSpaceDE/>
        <w:autoSpaceDN/>
        <w:bidi w:val="0"/>
        <w:adjustRightInd/>
        <w:spacing w:line="560" w:lineRule="exact"/>
        <w:ind w:left="0" w:leftChars="0" w:firstLine="0" w:firstLineChars="0"/>
        <w:jc w:val="left"/>
        <w:textAlignment w:val="auto"/>
        <w:rPr>
          <w:rFonts w:hint="default" w:ascii="Times New Roman" w:hAnsi="Times New Roman" w:eastAsia="方正小标宋简体" w:cs="Times New Roman"/>
          <w:color w:val="auto"/>
          <w:sz w:val="56"/>
          <w:szCs w:val="56"/>
          <w:u w:val="none"/>
          <w:lang w:eastAsia="zh-CN"/>
        </w:rPr>
      </w:pPr>
    </w:p>
    <w:p>
      <w:pPr>
        <w:pStyle w:val="12"/>
        <w:rPr>
          <w:rFonts w:hint="default" w:ascii="Times New Roman" w:hAnsi="Times New Roman" w:cs="Times New Roman"/>
          <w:color w:val="auto"/>
          <w:u w:val="none"/>
          <w:lang w:eastAsia="zh-CN"/>
        </w:rPr>
      </w:pPr>
    </w:p>
    <w:p>
      <w:pPr>
        <w:pStyle w:val="12"/>
        <w:rPr>
          <w:rFonts w:hint="default" w:ascii="Times New Roman" w:hAnsi="Times New Roman" w:cs="Times New Roman"/>
          <w:color w:val="auto"/>
          <w:u w:val="none"/>
          <w:lang w:eastAsia="zh-CN"/>
        </w:rPr>
      </w:pPr>
    </w:p>
    <w:p>
      <w:pPr>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hint="default" w:ascii="Times New Roman" w:hAnsi="Times New Roman" w:cs="Times New Roman"/>
          <w:color w:val="auto"/>
          <w:sz w:val="52"/>
          <w:szCs w:val="52"/>
          <w:u w:val="none"/>
        </w:rPr>
      </w:pPr>
      <w:r>
        <w:rPr>
          <w:rFonts w:hint="default" w:ascii="Times New Roman" w:hAnsi="Times New Roman" w:eastAsia="方正小标宋简体" w:cs="Times New Roman"/>
          <w:color w:val="auto"/>
          <w:sz w:val="56"/>
          <w:szCs w:val="56"/>
          <w:u w:val="none"/>
          <w:lang w:eastAsia="zh-CN"/>
        </w:rPr>
        <w:t>中小学校园食品安全和膳食经费管理</w:t>
      </w:r>
      <w:r>
        <w:rPr>
          <w:rFonts w:hint="default" w:ascii="Times New Roman" w:hAnsi="Times New Roman" w:eastAsia="方正小标宋简体" w:cs="Times New Roman"/>
          <w:color w:val="auto"/>
          <w:sz w:val="56"/>
          <w:szCs w:val="56"/>
          <w:u w:val="none"/>
        </w:rPr>
        <w:t>工作</w:t>
      </w:r>
      <w:r>
        <w:rPr>
          <w:rFonts w:hint="default" w:ascii="Times New Roman" w:hAnsi="Times New Roman" w:eastAsia="方正小标宋简体" w:cs="Times New Roman"/>
          <w:color w:val="auto"/>
          <w:sz w:val="56"/>
          <w:szCs w:val="56"/>
          <w:u w:val="none"/>
          <w:lang w:eastAsia="zh-CN"/>
        </w:rPr>
        <w:t>指引</w:t>
      </w:r>
    </w:p>
    <w:p>
      <w:pPr>
        <w:pStyle w:val="12"/>
        <w:pageBreakBefore w:val="0"/>
        <w:widowControl w:val="0"/>
        <w:kinsoku/>
        <w:wordWrap/>
        <w:overflowPunct/>
        <w:topLinePunct w:val="0"/>
        <w:autoSpaceDE/>
        <w:autoSpaceDN/>
        <w:bidi w:val="0"/>
        <w:adjustRightInd/>
        <w:spacing w:line="560" w:lineRule="exact"/>
        <w:ind w:left="0" w:leftChars="0" w:firstLine="0" w:firstLineChars="0"/>
        <w:jc w:val="left"/>
        <w:textAlignment w:val="auto"/>
        <w:rPr>
          <w:rFonts w:hint="default" w:ascii="Times New Roman" w:hAnsi="Times New Roman" w:eastAsia="楷体_GB2312" w:cs="Times New Roman"/>
          <w:color w:val="auto"/>
          <w:sz w:val="44"/>
          <w:szCs w:val="44"/>
          <w:u w:val="none"/>
          <w:lang w:val="en-US" w:eastAsia="zh-CN"/>
        </w:rPr>
      </w:pPr>
    </w:p>
    <w:p>
      <w:pPr>
        <w:pStyle w:val="12"/>
        <w:pageBreakBefore w:val="0"/>
        <w:widowControl w:val="0"/>
        <w:kinsoku/>
        <w:wordWrap/>
        <w:overflowPunct/>
        <w:topLinePunct w:val="0"/>
        <w:autoSpaceDE/>
        <w:autoSpaceDN/>
        <w:bidi w:val="0"/>
        <w:adjustRightInd/>
        <w:spacing w:line="560" w:lineRule="exact"/>
        <w:ind w:left="0" w:leftChars="0" w:firstLine="0" w:firstLineChars="0"/>
        <w:jc w:val="left"/>
        <w:textAlignment w:val="auto"/>
        <w:rPr>
          <w:rFonts w:hint="default" w:ascii="Times New Roman" w:hAnsi="Times New Roman" w:eastAsia="楷体_GB2312" w:cs="Times New Roman"/>
          <w:color w:val="auto"/>
          <w:sz w:val="44"/>
          <w:szCs w:val="44"/>
          <w:u w:val="none"/>
          <w:lang w:val="en-US" w:eastAsia="zh-CN"/>
        </w:rPr>
      </w:pPr>
    </w:p>
    <w:p>
      <w:pPr>
        <w:pageBreakBefore w:val="0"/>
        <w:widowControl w:val="0"/>
        <w:kinsoku/>
        <w:wordWrap/>
        <w:overflowPunct/>
        <w:topLinePunct w:val="0"/>
        <w:autoSpaceDE/>
        <w:autoSpaceDN/>
        <w:bidi w:val="0"/>
        <w:adjustRightInd/>
        <w:spacing w:line="560" w:lineRule="exact"/>
        <w:ind w:firstLineChars="0"/>
        <w:jc w:val="left"/>
        <w:textAlignment w:val="auto"/>
        <w:rPr>
          <w:rFonts w:hint="default" w:ascii="Times New Roman" w:hAnsi="Times New Roman" w:eastAsia="楷体_GB2312" w:cs="Times New Roman"/>
          <w:color w:val="auto"/>
          <w:sz w:val="36"/>
          <w:szCs w:val="36"/>
          <w:u w:val="none"/>
        </w:rPr>
      </w:pPr>
    </w:p>
    <w:p>
      <w:pPr>
        <w:pageBreakBefore w:val="0"/>
        <w:widowControl w:val="0"/>
        <w:kinsoku/>
        <w:wordWrap/>
        <w:overflowPunct/>
        <w:topLinePunct w:val="0"/>
        <w:autoSpaceDE/>
        <w:autoSpaceDN/>
        <w:bidi w:val="0"/>
        <w:adjustRightInd/>
        <w:spacing w:line="560" w:lineRule="exact"/>
        <w:ind w:firstLineChars="0"/>
        <w:jc w:val="left"/>
        <w:textAlignment w:val="auto"/>
        <w:rPr>
          <w:rFonts w:hint="default" w:ascii="Times New Roman" w:hAnsi="Times New Roman" w:eastAsia="楷体_GB2312" w:cs="Times New Roman"/>
          <w:color w:val="auto"/>
          <w:sz w:val="36"/>
          <w:szCs w:val="36"/>
          <w:u w:val="none"/>
        </w:rPr>
      </w:pPr>
    </w:p>
    <w:p>
      <w:pPr>
        <w:pageBreakBefore w:val="0"/>
        <w:widowControl w:val="0"/>
        <w:kinsoku/>
        <w:wordWrap/>
        <w:overflowPunct/>
        <w:topLinePunct w:val="0"/>
        <w:autoSpaceDE/>
        <w:autoSpaceDN/>
        <w:bidi w:val="0"/>
        <w:adjustRightInd/>
        <w:spacing w:line="560" w:lineRule="exact"/>
        <w:ind w:firstLineChars="0"/>
        <w:jc w:val="left"/>
        <w:textAlignment w:val="auto"/>
        <w:rPr>
          <w:rFonts w:hint="default" w:ascii="Times New Roman" w:hAnsi="Times New Roman" w:eastAsia="楷体_GB2312" w:cs="Times New Roman"/>
          <w:color w:val="auto"/>
          <w:sz w:val="36"/>
          <w:szCs w:val="36"/>
          <w:u w:val="none"/>
        </w:rPr>
      </w:pPr>
    </w:p>
    <w:p>
      <w:pPr>
        <w:pageBreakBefore w:val="0"/>
        <w:widowControl w:val="0"/>
        <w:kinsoku/>
        <w:wordWrap/>
        <w:overflowPunct/>
        <w:topLinePunct w:val="0"/>
        <w:autoSpaceDE/>
        <w:autoSpaceDN/>
        <w:bidi w:val="0"/>
        <w:adjustRightInd/>
        <w:spacing w:line="560" w:lineRule="exact"/>
        <w:ind w:firstLineChars="0"/>
        <w:jc w:val="left"/>
        <w:textAlignment w:val="auto"/>
        <w:rPr>
          <w:rFonts w:hint="default" w:ascii="Times New Roman" w:hAnsi="Times New Roman" w:eastAsia="楷体_GB2312" w:cs="Times New Roman"/>
          <w:color w:val="auto"/>
          <w:sz w:val="36"/>
          <w:szCs w:val="36"/>
          <w:u w:val="none"/>
        </w:rPr>
      </w:pPr>
    </w:p>
    <w:p>
      <w:pPr>
        <w:pageBreakBefore w:val="0"/>
        <w:widowControl w:val="0"/>
        <w:kinsoku/>
        <w:wordWrap/>
        <w:overflowPunct/>
        <w:topLinePunct w:val="0"/>
        <w:autoSpaceDE/>
        <w:autoSpaceDN/>
        <w:bidi w:val="0"/>
        <w:adjustRightInd/>
        <w:spacing w:line="560" w:lineRule="exact"/>
        <w:ind w:firstLineChars="0"/>
        <w:jc w:val="left"/>
        <w:textAlignment w:val="auto"/>
        <w:rPr>
          <w:rFonts w:hint="default" w:ascii="Times New Roman" w:hAnsi="Times New Roman" w:eastAsia="楷体_GB2312" w:cs="Times New Roman"/>
          <w:color w:val="auto"/>
          <w:sz w:val="36"/>
          <w:szCs w:val="36"/>
          <w:u w:val="none"/>
        </w:rPr>
      </w:pPr>
    </w:p>
    <w:p>
      <w:pPr>
        <w:pageBreakBefore w:val="0"/>
        <w:widowControl w:val="0"/>
        <w:kinsoku/>
        <w:wordWrap/>
        <w:overflowPunct/>
        <w:topLinePunct w:val="0"/>
        <w:autoSpaceDE/>
        <w:autoSpaceDN/>
        <w:bidi w:val="0"/>
        <w:adjustRightInd/>
        <w:spacing w:line="560" w:lineRule="exact"/>
        <w:ind w:firstLineChars="0"/>
        <w:jc w:val="left"/>
        <w:textAlignment w:val="auto"/>
        <w:rPr>
          <w:rFonts w:hint="default" w:ascii="Times New Roman" w:hAnsi="Times New Roman" w:eastAsia="楷体_GB2312" w:cs="Times New Roman"/>
          <w:color w:val="auto"/>
          <w:sz w:val="36"/>
          <w:szCs w:val="36"/>
          <w:u w:val="none"/>
        </w:rPr>
      </w:pPr>
    </w:p>
    <w:p>
      <w:pPr>
        <w:pageBreakBefore w:val="0"/>
        <w:widowControl w:val="0"/>
        <w:kinsoku/>
        <w:wordWrap/>
        <w:overflowPunct/>
        <w:topLinePunct w:val="0"/>
        <w:autoSpaceDE/>
        <w:autoSpaceDN/>
        <w:bidi w:val="0"/>
        <w:adjustRightInd/>
        <w:spacing w:line="560" w:lineRule="exact"/>
        <w:ind w:firstLineChars="0"/>
        <w:jc w:val="left"/>
        <w:textAlignment w:val="auto"/>
        <w:rPr>
          <w:rFonts w:hint="default" w:ascii="Times New Roman" w:hAnsi="Times New Roman" w:eastAsia="楷体_GB2312" w:cs="Times New Roman"/>
          <w:color w:val="auto"/>
          <w:sz w:val="36"/>
          <w:szCs w:val="36"/>
          <w:u w:val="none"/>
        </w:rPr>
      </w:pPr>
    </w:p>
    <w:p>
      <w:pPr>
        <w:pStyle w:val="12"/>
        <w:rPr>
          <w:rFonts w:hint="default"/>
        </w:rPr>
      </w:pPr>
    </w:p>
    <w:p>
      <w:pPr>
        <w:pageBreakBefore w:val="0"/>
        <w:widowControl w:val="0"/>
        <w:kinsoku/>
        <w:wordWrap/>
        <w:overflowPunct/>
        <w:topLinePunct w:val="0"/>
        <w:autoSpaceDE/>
        <w:autoSpaceDN/>
        <w:bidi w:val="0"/>
        <w:adjustRightInd/>
        <w:spacing w:line="560" w:lineRule="exact"/>
        <w:ind w:firstLineChars="0"/>
        <w:jc w:val="center"/>
        <w:textAlignment w:val="auto"/>
        <w:rPr>
          <w:rFonts w:hint="default" w:ascii="Times New Roman" w:hAnsi="Times New Roman" w:eastAsia="楷体_GB2312" w:cs="Times New Roman"/>
          <w:color w:val="auto"/>
          <w:sz w:val="36"/>
          <w:szCs w:val="36"/>
          <w:u w:val="none"/>
        </w:rPr>
      </w:pPr>
    </w:p>
    <w:p>
      <w:pPr>
        <w:pStyle w:val="5"/>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auto"/>
          <w:sz w:val="44"/>
          <w:szCs w:val="44"/>
          <w:u w:val="none"/>
        </w:rPr>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pPr>
      <w:bookmarkStart w:id="0" w:name="_Toc1138567561"/>
      <w:bookmarkStart w:id="1" w:name="_Toc6302"/>
      <w:bookmarkStart w:id="2" w:name="_Toc169989444"/>
      <w:bookmarkStart w:id="3" w:name="_Toc796595246"/>
      <w:bookmarkStart w:id="4" w:name="_Toc9095"/>
      <w:bookmarkStart w:id="5" w:name="_Toc100637078"/>
      <w:bookmarkStart w:id="6" w:name="_Toc1952167467"/>
      <w:bookmarkStart w:id="7" w:name="_Toc1245137438"/>
      <w:bookmarkStart w:id="8" w:name="_Toc1091293419"/>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color w:val="auto"/>
          <w:sz w:val="44"/>
          <w:szCs w:val="44"/>
          <w:u w:val="none"/>
        </w:rPr>
      </w:pPr>
      <w:r>
        <w:rPr>
          <w:rFonts w:hint="default" w:ascii="Times New Roman" w:hAnsi="Times New Roman" w:eastAsia="方正小标宋简体" w:cs="Times New Roman"/>
          <w:color w:val="auto"/>
          <w:sz w:val="44"/>
          <w:szCs w:val="44"/>
          <w:u w:val="none"/>
        </w:rPr>
        <w:t>前</w:t>
      </w:r>
      <w:r>
        <w:rPr>
          <w:rFonts w:hint="default" w:ascii="Times New Roman" w:hAnsi="Times New Roman" w:eastAsia="方正小标宋简体" w:cs="Times New Roman"/>
          <w:color w:val="auto"/>
          <w:sz w:val="44"/>
          <w:szCs w:val="44"/>
          <w:u w:val="none"/>
          <w:lang w:val="en-US" w:eastAsia="zh-CN"/>
        </w:rPr>
        <w:t xml:space="preserve">  </w:t>
      </w:r>
      <w:r>
        <w:rPr>
          <w:rFonts w:hint="default" w:ascii="Times New Roman" w:hAnsi="Times New Roman" w:eastAsia="方正小标宋简体" w:cs="Times New Roman"/>
          <w:color w:val="auto"/>
          <w:sz w:val="44"/>
          <w:szCs w:val="44"/>
          <w:u w:val="none"/>
        </w:rPr>
        <w:t>言</w:t>
      </w:r>
      <w:bookmarkEnd w:id="0"/>
      <w:bookmarkEnd w:id="1"/>
      <w:bookmarkEnd w:id="2"/>
      <w:bookmarkEnd w:id="3"/>
      <w:bookmarkEnd w:id="4"/>
      <w:bookmarkEnd w:id="5"/>
      <w:bookmarkEnd w:id="6"/>
      <w:bookmarkEnd w:id="7"/>
      <w:bookmarkEnd w:id="8"/>
    </w:p>
    <w:p>
      <w:pPr>
        <w:keepNext w:val="0"/>
        <w:keepLines w:val="0"/>
        <w:pageBreakBefore w:val="0"/>
        <w:widowControl w:val="0"/>
        <w:kinsoku/>
        <w:wordWrap/>
        <w:overflowPunct/>
        <w:topLinePunct w:val="0"/>
        <w:autoSpaceDE/>
        <w:autoSpaceDN/>
        <w:bidi w:val="0"/>
        <w:adjustRightInd/>
        <w:snapToGrid/>
        <w:spacing w:line="560" w:lineRule="exact"/>
        <w:ind w:firstLineChars="0"/>
        <w:jc w:val="left"/>
        <w:textAlignment w:val="auto"/>
        <w:rPr>
          <w:rFonts w:hint="default" w:ascii="Times New Roman" w:hAnsi="Times New Roman" w:cs="Times New Roman"/>
          <w:color w:val="auto"/>
          <w:szCs w:val="32"/>
          <w:u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党中央、国务院高度重视青少年健康成长。习近平总书记多次强调要“</w:t>
      </w:r>
      <w:r>
        <w:rPr>
          <w:rFonts w:hint="eastAsia" w:ascii="仿宋_GB2312" w:hAnsi="仿宋_GB2312" w:eastAsia="仿宋_GB2312" w:cs="仿宋_GB2312"/>
          <w:color w:val="auto"/>
          <w:sz w:val="32"/>
          <w:szCs w:val="32"/>
          <w:u w:val="none"/>
          <w:lang w:eastAsia="zh-CN"/>
        </w:rPr>
        <w:t>落实</w:t>
      </w:r>
      <w:r>
        <w:rPr>
          <w:rFonts w:hint="eastAsia" w:ascii="仿宋_GB2312" w:hAnsi="仿宋_GB2312" w:eastAsia="仿宋_GB2312" w:cs="仿宋_GB2312"/>
          <w:color w:val="auto"/>
          <w:sz w:val="32"/>
          <w:szCs w:val="32"/>
          <w:u w:val="none"/>
        </w:rPr>
        <w:t>健康第一的教育理念”“确保学生在学校学、住、吃都安全，让家长放心”，近期</w:t>
      </w:r>
      <w:r>
        <w:rPr>
          <w:rFonts w:hint="eastAsia" w:ascii="仿宋_GB2312" w:hAnsi="仿宋_GB2312" w:eastAsia="仿宋_GB2312" w:cs="仿宋_GB2312"/>
          <w:color w:val="auto"/>
          <w:sz w:val="32"/>
          <w:szCs w:val="32"/>
          <w:u w:val="none"/>
          <w:lang w:eastAsia="zh-CN"/>
        </w:rPr>
        <w:t>在</w:t>
      </w:r>
      <w:r>
        <w:rPr>
          <w:rFonts w:hint="eastAsia" w:ascii="仿宋_GB2312" w:hAnsi="仿宋_GB2312" w:eastAsia="仿宋_GB2312" w:cs="仿宋_GB2312"/>
          <w:color w:val="auto"/>
          <w:sz w:val="32"/>
          <w:szCs w:val="32"/>
          <w:u w:val="none"/>
        </w:rPr>
        <w:t>青海考察调研</w:t>
      </w:r>
      <w:r>
        <w:rPr>
          <w:rFonts w:hint="eastAsia" w:ascii="仿宋_GB2312" w:hAnsi="仿宋_GB2312" w:eastAsia="仿宋_GB2312" w:cs="仿宋_GB2312"/>
          <w:color w:val="auto"/>
          <w:sz w:val="32"/>
          <w:szCs w:val="32"/>
          <w:u w:val="none"/>
          <w:lang w:eastAsia="zh-CN"/>
        </w:rPr>
        <w:t>时</w:t>
      </w:r>
      <w:r>
        <w:rPr>
          <w:rFonts w:hint="eastAsia" w:ascii="仿宋_GB2312" w:hAnsi="仿宋_GB2312" w:eastAsia="仿宋_GB2312" w:cs="仿宋_GB2312"/>
          <w:color w:val="auto"/>
          <w:sz w:val="32"/>
          <w:szCs w:val="32"/>
          <w:u w:val="none"/>
        </w:rPr>
        <w:t>又提出校园</w:t>
      </w:r>
      <w:r>
        <w:rPr>
          <w:rFonts w:hint="eastAsia" w:ascii="仿宋_GB2312" w:hAnsi="仿宋_GB2312" w:eastAsia="仿宋_GB2312" w:cs="仿宋_GB2312"/>
          <w:color w:val="auto"/>
          <w:sz w:val="32"/>
          <w:szCs w:val="32"/>
          <w:u w:val="none"/>
          <w:lang w:eastAsia="zh-CN"/>
        </w:rPr>
        <w:t>餐</w:t>
      </w:r>
      <w:r>
        <w:rPr>
          <w:rFonts w:hint="eastAsia" w:ascii="仿宋_GB2312" w:hAnsi="仿宋_GB2312" w:eastAsia="仿宋_GB2312" w:cs="仿宋_GB2312"/>
          <w:color w:val="auto"/>
          <w:sz w:val="32"/>
          <w:szCs w:val="32"/>
          <w:u w:val="none"/>
        </w:rPr>
        <w:t>应“</w:t>
      </w:r>
      <w:r>
        <w:rPr>
          <w:rFonts w:hint="eastAsia" w:ascii="仿宋_GB2312" w:hAnsi="仿宋_GB2312" w:eastAsia="仿宋_GB2312" w:cs="仿宋_GB2312"/>
          <w:color w:val="auto"/>
          <w:sz w:val="32"/>
          <w:szCs w:val="32"/>
          <w:u w:val="none"/>
          <w:lang w:eastAsia="zh-CN"/>
        </w:rPr>
        <w:t>卫生、安全、</w:t>
      </w:r>
      <w:r>
        <w:rPr>
          <w:rFonts w:hint="eastAsia" w:ascii="仿宋_GB2312" w:hAnsi="仿宋_GB2312" w:eastAsia="仿宋_GB2312" w:cs="仿宋_GB2312"/>
          <w:color w:val="auto"/>
          <w:sz w:val="32"/>
          <w:szCs w:val="32"/>
          <w:u w:val="none"/>
        </w:rPr>
        <w:t>可口、营养健康”</w:t>
      </w:r>
      <w:r>
        <w:rPr>
          <w:rFonts w:hint="eastAsia" w:ascii="仿宋_GB2312" w:hAnsi="仿宋_GB2312" w:eastAsia="仿宋_GB2312" w:cs="仿宋_GB2312"/>
          <w:color w:val="auto"/>
          <w:sz w:val="32"/>
          <w:szCs w:val="32"/>
          <w:u w:val="none"/>
          <w:lang w:eastAsia="zh-CN"/>
        </w:rPr>
        <w:t>的殷殷</w:t>
      </w:r>
      <w:r>
        <w:rPr>
          <w:rFonts w:hint="eastAsia" w:ascii="仿宋_GB2312" w:hAnsi="仿宋_GB2312" w:eastAsia="仿宋_GB2312" w:cs="仿宋_GB2312"/>
          <w:color w:val="auto"/>
          <w:sz w:val="32"/>
          <w:szCs w:val="32"/>
          <w:u w:val="none"/>
        </w:rPr>
        <w:t>嘱托。中小学校</w:t>
      </w:r>
      <w:r>
        <w:rPr>
          <w:rFonts w:hint="eastAsia" w:ascii="仿宋_GB2312" w:hAnsi="仿宋_GB2312" w:eastAsia="仿宋_GB2312" w:cs="仿宋_GB2312"/>
          <w:color w:val="auto"/>
          <w:sz w:val="32"/>
          <w:szCs w:val="32"/>
          <w:u w:val="none"/>
          <w:lang w:eastAsia="zh-CN"/>
        </w:rPr>
        <w:t>食品安全</w:t>
      </w:r>
      <w:r>
        <w:rPr>
          <w:rFonts w:hint="eastAsia" w:ascii="仿宋_GB2312" w:hAnsi="仿宋_GB2312" w:eastAsia="仿宋_GB2312" w:cs="仿宋_GB2312"/>
          <w:color w:val="auto"/>
          <w:sz w:val="32"/>
          <w:szCs w:val="32"/>
          <w:u w:val="none"/>
        </w:rPr>
        <w:t>管理工作关系学生身</w:t>
      </w:r>
      <w:r>
        <w:rPr>
          <w:rFonts w:hint="eastAsia" w:ascii="仿宋_GB2312" w:hAnsi="仿宋_GB2312" w:eastAsia="仿宋_GB2312" w:cs="仿宋_GB2312"/>
          <w:color w:val="auto"/>
          <w:sz w:val="32"/>
          <w:szCs w:val="32"/>
          <w:u w:val="none"/>
          <w:lang w:eastAsia="zh-CN"/>
        </w:rPr>
        <w:t>心</w:t>
      </w:r>
      <w:r>
        <w:rPr>
          <w:rFonts w:hint="eastAsia" w:ascii="仿宋_GB2312" w:hAnsi="仿宋_GB2312" w:eastAsia="仿宋_GB2312" w:cs="仿宋_GB2312"/>
          <w:color w:val="auto"/>
          <w:sz w:val="32"/>
          <w:szCs w:val="32"/>
          <w:u w:val="none"/>
        </w:rPr>
        <w:t>健康，关系家庭幸福</w:t>
      </w:r>
      <w:r>
        <w:rPr>
          <w:rFonts w:hint="eastAsia" w:ascii="仿宋_GB2312" w:hAnsi="仿宋_GB2312" w:eastAsia="仿宋_GB2312" w:cs="仿宋_GB2312"/>
          <w:color w:val="auto"/>
          <w:sz w:val="32"/>
          <w:szCs w:val="32"/>
          <w:u w:val="none"/>
          <w:lang w:eastAsia="zh-CN"/>
        </w:rPr>
        <w:t>与</w:t>
      </w:r>
      <w:r>
        <w:rPr>
          <w:rFonts w:hint="eastAsia" w:ascii="仿宋_GB2312" w:hAnsi="仿宋_GB2312" w:eastAsia="仿宋_GB2312" w:cs="仿宋_GB2312"/>
          <w:color w:val="auto"/>
          <w:sz w:val="32"/>
          <w:szCs w:val="32"/>
          <w:u w:val="none"/>
        </w:rPr>
        <w:t>社会</w:t>
      </w:r>
      <w:r>
        <w:rPr>
          <w:rFonts w:hint="eastAsia" w:ascii="仿宋_GB2312" w:hAnsi="仿宋_GB2312" w:eastAsia="仿宋_GB2312" w:cs="仿宋_GB2312"/>
          <w:color w:val="auto"/>
          <w:sz w:val="32"/>
          <w:szCs w:val="32"/>
          <w:u w:val="none"/>
          <w:lang w:eastAsia="zh-CN"/>
        </w:rPr>
        <w:t>和谐</w:t>
      </w:r>
      <w:r>
        <w:rPr>
          <w:rFonts w:hint="eastAsia" w:ascii="仿宋_GB2312" w:hAnsi="仿宋_GB2312" w:eastAsia="仿宋_GB2312" w:cs="仿宋_GB2312"/>
          <w:color w:val="auto"/>
          <w:sz w:val="32"/>
          <w:szCs w:val="32"/>
          <w:u w:val="none"/>
        </w:rPr>
        <w:t>稳定。保障学校食品安全和营养健康是深入贯彻落实习近平总书记关于食品安全</w:t>
      </w:r>
      <w:r>
        <w:rPr>
          <w:rFonts w:hint="eastAsia" w:ascii="仿宋_GB2312" w:hAnsi="仿宋_GB2312" w:eastAsia="仿宋_GB2312" w:cs="仿宋_GB2312"/>
          <w:color w:val="auto"/>
          <w:sz w:val="32"/>
          <w:szCs w:val="32"/>
          <w:u w:val="none"/>
          <w:lang w:eastAsia="zh-CN"/>
        </w:rPr>
        <w:t>“四个最严”要求</w:t>
      </w:r>
      <w:r>
        <w:rPr>
          <w:rFonts w:hint="eastAsia" w:ascii="仿宋_GB2312" w:hAnsi="仿宋_GB2312" w:eastAsia="仿宋_GB2312" w:cs="仿宋_GB2312"/>
          <w:color w:val="auto"/>
          <w:sz w:val="32"/>
          <w:szCs w:val="32"/>
          <w:u w:val="none"/>
        </w:rPr>
        <w:t>的</w:t>
      </w:r>
      <w:r>
        <w:rPr>
          <w:rFonts w:hint="eastAsia" w:ascii="仿宋_GB2312" w:hAnsi="仿宋_GB2312" w:eastAsia="仿宋_GB2312" w:cs="仿宋_GB2312"/>
          <w:color w:val="auto"/>
          <w:sz w:val="32"/>
          <w:szCs w:val="32"/>
          <w:u w:val="none"/>
          <w:lang w:eastAsia="zh-CN"/>
        </w:rPr>
        <w:t>基础基本</w:t>
      </w: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eastAsia="zh-CN"/>
        </w:rPr>
        <w:t>是践行</w:t>
      </w:r>
      <w:r>
        <w:rPr>
          <w:rFonts w:hint="eastAsia" w:ascii="仿宋_GB2312" w:hAnsi="仿宋_GB2312" w:eastAsia="仿宋_GB2312" w:cs="仿宋_GB2312"/>
          <w:color w:val="auto"/>
          <w:sz w:val="32"/>
          <w:szCs w:val="32"/>
          <w:u w:val="none"/>
        </w:rPr>
        <w:t>以人民为中心</w:t>
      </w:r>
      <w:r>
        <w:rPr>
          <w:rFonts w:hint="eastAsia" w:ascii="仿宋_GB2312" w:hAnsi="仿宋_GB2312" w:eastAsia="仿宋_GB2312" w:cs="仿宋_GB2312"/>
          <w:color w:val="auto"/>
          <w:sz w:val="32"/>
          <w:szCs w:val="32"/>
          <w:u w:val="none"/>
          <w:lang w:eastAsia="zh-CN"/>
        </w:rPr>
        <w:t>的</w:t>
      </w:r>
      <w:r>
        <w:rPr>
          <w:rFonts w:hint="eastAsia" w:ascii="仿宋_GB2312" w:hAnsi="仿宋_GB2312" w:eastAsia="仿宋_GB2312" w:cs="仿宋_GB2312"/>
          <w:color w:val="auto"/>
          <w:sz w:val="32"/>
          <w:szCs w:val="32"/>
          <w:u w:val="none"/>
        </w:rPr>
        <w:t>发展理念</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不断满足</w:t>
      </w:r>
      <w:r>
        <w:rPr>
          <w:rFonts w:hint="eastAsia" w:ascii="仿宋_GB2312" w:hAnsi="仿宋_GB2312" w:eastAsia="仿宋_GB2312" w:cs="仿宋_GB2312"/>
          <w:color w:val="auto"/>
          <w:sz w:val="32"/>
          <w:szCs w:val="32"/>
          <w:u w:val="none"/>
          <w:lang w:eastAsia="zh-CN"/>
        </w:rPr>
        <w:t>师生</w:t>
      </w:r>
      <w:r>
        <w:rPr>
          <w:rFonts w:hint="eastAsia" w:ascii="仿宋_GB2312" w:hAnsi="仿宋_GB2312" w:eastAsia="仿宋_GB2312" w:cs="仿宋_GB2312"/>
          <w:color w:val="auto"/>
          <w:sz w:val="32"/>
          <w:szCs w:val="32"/>
          <w:u w:val="none"/>
        </w:rPr>
        <w:t>对美好生活向往</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办好人民满意教育的必然要求。</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为进一步规范中小学校园食品安全和膳食经费管理，</w:t>
      </w:r>
      <w:r>
        <w:rPr>
          <w:rFonts w:hint="eastAsia" w:ascii="仿宋_GB2312" w:hAnsi="仿宋_GB2312" w:eastAsia="仿宋_GB2312" w:cs="仿宋_GB2312"/>
          <w:color w:val="auto"/>
          <w:sz w:val="32"/>
          <w:szCs w:val="32"/>
          <w:u w:val="none"/>
          <w:lang w:eastAsia="zh-CN"/>
        </w:rPr>
        <w:t>指导</w:t>
      </w:r>
      <w:r>
        <w:rPr>
          <w:rFonts w:hint="eastAsia" w:ascii="仿宋_GB2312" w:hAnsi="仿宋_GB2312" w:eastAsia="仿宋_GB2312" w:cs="仿宋_GB2312"/>
          <w:color w:val="auto"/>
          <w:sz w:val="32"/>
          <w:szCs w:val="32"/>
          <w:u w:val="none"/>
        </w:rPr>
        <w:t>各级教育</w:t>
      </w:r>
      <w:r>
        <w:rPr>
          <w:rFonts w:hint="eastAsia" w:ascii="仿宋_GB2312" w:hAnsi="仿宋_GB2312" w:eastAsia="仿宋_GB2312" w:cs="仿宋_GB2312"/>
          <w:color w:val="auto"/>
          <w:sz w:val="32"/>
          <w:szCs w:val="32"/>
          <w:u w:val="none"/>
          <w:lang w:eastAsia="zh-CN"/>
        </w:rPr>
        <w:t>行政</w:t>
      </w:r>
      <w:r>
        <w:rPr>
          <w:rFonts w:hint="eastAsia" w:ascii="仿宋_GB2312" w:hAnsi="仿宋_GB2312" w:eastAsia="仿宋_GB2312" w:cs="仿宋_GB2312"/>
          <w:color w:val="auto"/>
          <w:sz w:val="32"/>
          <w:szCs w:val="32"/>
          <w:u w:val="none"/>
        </w:rPr>
        <w:t>部门和中小学校全面、准确落实学校食品安全和</w:t>
      </w:r>
      <w:r>
        <w:rPr>
          <w:rFonts w:hint="eastAsia" w:ascii="仿宋_GB2312" w:hAnsi="仿宋_GB2312" w:eastAsia="仿宋_GB2312" w:cs="仿宋_GB2312"/>
          <w:color w:val="auto"/>
          <w:sz w:val="32"/>
          <w:szCs w:val="32"/>
          <w:u w:val="none"/>
          <w:lang w:eastAsia="zh-CN"/>
        </w:rPr>
        <w:t>膳食经费</w:t>
      </w:r>
      <w:r>
        <w:rPr>
          <w:rFonts w:hint="eastAsia" w:ascii="仿宋_GB2312" w:hAnsi="仿宋_GB2312" w:eastAsia="仿宋_GB2312" w:cs="仿宋_GB2312"/>
          <w:color w:val="auto"/>
          <w:sz w:val="32"/>
          <w:szCs w:val="32"/>
          <w:u w:val="none"/>
        </w:rPr>
        <w:t>管理有关法律法规</w:t>
      </w:r>
      <w:r>
        <w:rPr>
          <w:rFonts w:hint="eastAsia" w:ascii="仿宋_GB2312" w:hAnsi="仿宋_GB2312" w:eastAsia="仿宋_GB2312" w:cs="仿宋_GB2312"/>
          <w:color w:val="auto"/>
          <w:sz w:val="32"/>
          <w:szCs w:val="32"/>
          <w:u w:val="none"/>
          <w:lang w:eastAsia="zh-CN"/>
        </w:rPr>
        <w:t>和</w:t>
      </w:r>
      <w:r>
        <w:rPr>
          <w:rFonts w:hint="eastAsia" w:ascii="仿宋_GB2312" w:hAnsi="仿宋_GB2312" w:eastAsia="仿宋_GB2312" w:cs="仿宋_GB2312"/>
          <w:color w:val="auto"/>
          <w:sz w:val="32"/>
          <w:szCs w:val="32"/>
          <w:u w:val="none"/>
        </w:rPr>
        <w:t>政策要求，</w:t>
      </w:r>
      <w:r>
        <w:rPr>
          <w:rFonts w:hint="eastAsia" w:ascii="仿宋_GB2312" w:hAnsi="仿宋_GB2312" w:cs="仿宋_GB2312"/>
          <w:color w:val="auto"/>
          <w:sz w:val="32"/>
          <w:szCs w:val="32"/>
          <w:u w:val="none"/>
          <w:lang w:val="en-US" w:eastAsia="zh-CN"/>
        </w:rPr>
        <w:t>教育部</w:t>
      </w:r>
      <w:r>
        <w:rPr>
          <w:rFonts w:hint="eastAsia" w:ascii="仿宋_GB2312" w:hAnsi="仿宋_GB2312" w:eastAsia="仿宋_GB2312" w:cs="仿宋_GB2312"/>
          <w:color w:val="auto"/>
          <w:sz w:val="32"/>
          <w:szCs w:val="32"/>
          <w:u w:val="none"/>
        </w:rPr>
        <w:t>组织编写了《中小学校园食品安全和膳食经费管理工作指引》，</w:t>
      </w:r>
      <w:r>
        <w:rPr>
          <w:rFonts w:hint="eastAsia" w:ascii="仿宋_GB2312" w:hAnsi="仿宋_GB2312" w:eastAsia="仿宋_GB2312" w:cs="仿宋_GB2312"/>
          <w:color w:val="auto"/>
          <w:sz w:val="32"/>
          <w:szCs w:val="32"/>
          <w:u w:val="none"/>
          <w:lang w:eastAsia="zh-CN"/>
        </w:rPr>
        <w:t>梳理和盘点</w:t>
      </w:r>
      <w:r>
        <w:rPr>
          <w:rFonts w:hint="eastAsia" w:ascii="仿宋_GB2312" w:hAnsi="仿宋_GB2312" w:eastAsia="仿宋_GB2312" w:cs="仿宋_GB2312"/>
          <w:color w:val="auto"/>
          <w:sz w:val="32"/>
          <w:szCs w:val="32"/>
          <w:u w:val="none"/>
        </w:rPr>
        <w:t>中小学校园食品安全和膳食经费管理</w:t>
      </w:r>
      <w:r>
        <w:rPr>
          <w:rFonts w:hint="eastAsia" w:ascii="仿宋_GB2312" w:hAnsi="仿宋_GB2312" w:eastAsia="仿宋_GB2312" w:cs="仿宋_GB2312"/>
          <w:color w:val="auto"/>
          <w:sz w:val="32"/>
          <w:szCs w:val="32"/>
          <w:u w:val="none"/>
          <w:lang w:eastAsia="zh-CN"/>
        </w:rPr>
        <w:t>重点内容和关键环节，强化</w:t>
      </w:r>
      <w:r>
        <w:rPr>
          <w:rFonts w:hint="eastAsia" w:ascii="仿宋_GB2312" w:hAnsi="仿宋_GB2312" w:eastAsia="仿宋_GB2312" w:cs="仿宋_GB2312"/>
          <w:color w:val="auto"/>
          <w:sz w:val="32"/>
          <w:szCs w:val="32"/>
          <w:u w:val="none"/>
        </w:rPr>
        <w:t>政策解读和实操指导</w:t>
      </w:r>
      <w:r>
        <w:rPr>
          <w:rFonts w:hint="eastAsia" w:ascii="仿宋_GB2312" w:hAnsi="仿宋_GB2312" w:eastAsia="仿宋_GB2312" w:cs="仿宋_GB2312"/>
          <w:color w:val="auto"/>
          <w:sz w:val="32"/>
          <w:szCs w:val="32"/>
          <w:u w:val="none"/>
          <w:lang w:eastAsia="zh-CN"/>
        </w:rPr>
        <w:t>，提高各地和学校对政策制度和管理要点把握的精准化程度，提升各级教育行政部门和中小学校食堂及食品安全管理人员、从业人员的素质和能力，切实保障广大师生在校饮食安全和营养健康，持续增强广大师生和家长的获得感、幸福感、安全感</w:t>
      </w:r>
      <w:r>
        <w:rPr>
          <w:rFonts w:hint="eastAsia" w:ascii="仿宋_GB2312" w:hAnsi="仿宋_GB2312" w:eastAsia="仿宋_GB2312" w:cs="仿宋_GB2312"/>
          <w:color w:val="auto"/>
          <w:sz w:val="32"/>
          <w:szCs w:val="32"/>
          <w:u w:val="none"/>
        </w:rPr>
        <w:t>。</w:t>
      </w:r>
    </w:p>
    <w:p>
      <w:pPr>
        <w:keepNext w:val="0"/>
        <w:keepLines w:val="0"/>
        <w:pageBreakBefore w:val="0"/>
        <w:widowControl w:val="0"/>
        <w:kinsoku/>
        <w:wordWrap/>
        <w:overflowPunct/>
        <w:topLinePunct w:val="0"/>
        <w:autoSpaceDE/>
        <w:autoSpaceDN/>
        <w:bidi w:val="0"/>
        <w:adjustRightInd/>
        <w:snapToGrid/>
        <w:spacing w:line="560" w:lineRule="exact"/>
        <w:ind w:firstLine="6720" w:firstLineChars="2100"/>
        <w:jc w:val="both"/>
        <w:textAlignment w:val="auto"/>
        <w:rPr>
          <w:rFonts w:hint="default" w:ascii="Times New Roman" w:hAnsi="Times New Roman" w:cs="Times New Roman"/>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720" w:firstLineChars="2100"/>
        <w:jc w:val="both"/>
        <w:textAlignment w:val="auto"/>
        <w:rPr>
          <w:rFonts w:hint="default" w:ascii="Times New Roman" w:hAnsi="Times New Roman" w:cs="Times New Roman"/>
          <w:color w:val="auto"/>
          <w:sz w:val="32"/>
          <w:szCs w:val="32"/>
          <w:u w:val="none"/>
          <w:lang w:eastAsia="zh-CN"/>
        </w:rPr>
      </w:pPr>
      <w:r>
        <w:rPr>
          <w:rFonts w:hint="default" w:ascii="Times New Roman" w:hAnsi="Times New Roman" w:cs="Times New Roman"/>
          <w:color w:val="auto"/>
          <w:sz w:val="32"/>
          <w:szCs w:val="32"/>
          <w:u w:val="none"/>
          <w:lang w:eastAsia="zh-CN"/>
        </w:rPr>
        <w:t>编</w:t>
      </w:r>
      <w:r>
        <w:rPr>
          <w:rFonts w:hint="default" w:ascii="Times New Roman" w:hAnsi="Times New Roman" w:cs="Times New Roman"/>
          <w:color w:val="auto"/>
          <w:sz w:val="32"/>
          <w:szCs w:val="32"/>
          <w:u w:val="none"/>
          <w:lang w:val="en-US" w:eastAsia="zh-CN"/>
        </w:rPr>
        <w:t xml:space="preserve">  </w:t>
      </w:r>
      <w:r>
        <w:rPr>
          <w:rFonts w:hint="default" w:ascii="Times New Roman" w:hAnsi="Times New Roman" w:cs="Times New Roman"/>
          <w:color w:val="auto"/>
          <w:sz w:val="32"/>
          <w:szCs w:val="32"/>
          <w:u w:val="none"/>
          <w:lang w:eastAsia="zh-CN"/>
        </w:rPr>
        <w:t>者</w:t>
      </w:r>
    </w:p>
    <w:p>
      <w:pPr>
        <w:keepNext w:val="0"/>
        <w:keepLines w:val="0"/>
        <w:pageBreakBefore w:val="0"/>
        <w:widowControl w:val="0"/>
        <w:kinsoku/>
        <w:wordWrap/>
        <w:overflowPunct/>
        <w:topLinePunct w:val="0"/>
        <w:autoSpaceDE/>
        <w:autoSpaceDN/>
        <w:bidi w:val="0"/>
        <w:adjustRightInd/>
        <w:snapToGrid/>
        <w:spacing w:line="560" w:lineRule="exact"/>
        <w:ind w:firstLine="6400" w:firstLineChars="2000"/>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rPr>
        <w:t>2024年</w:t>
      </w:r>
      <w:r>
        <w:rPr>
          <w:rFonts w:hint="eastAsia" w:ascii="Times New Roman" w:hAnsi="Times New Roman" w:cs="Times New Roman"/>
          <w:color w:val="auto"/>
          <w:sz w:val="32"/>
          <w:szCs w:val="32"/>
          <w:u w:val="none"/>
          <w:lang w:val="en-US" w:eastAsia="zh-CN"/>
        </w:rPr>
        <w:t>11</w:t>
      </w:r>
      <w:r>
        <w:rPr>
          <w:rFonts w:hint="default" w:ascii="Times New Roman" w:hAnsi="Times New Roman" w:cs="Times New Roman"/>
          <w:color w:val="auto"/>
          <w:sz w:val="32"/>
          <w:szCs w:val="32"/>
          <w:u w:val="none"/>
        </w:rPr>
        <w:t>月</w:t>
      </w:r>
    </w:p>
    <w:sdt>
      <w:sdtPr>
        <w:rPr>
          <w:rFonts w:ascii="宋体" w:hAnsi="宋体" w:eastAsia="宋体" w:cstheme="minorBidi"/>
          <w:kern w:val="2"/>
          <w:sz w:val="21"/>
          <w:szCs w:val="21"/>
          <w:lang w:val="en-US" w:eastAsia="zh-CN" w:bidi="ar-SA"/>
        </w:rPr>
        <w:id w:val="479227257"/>
        <w15:color w:val="DBDBDB"/>
        <w:docPartObj>
          <w:docPartGallery w:val="Table of Contents"/>
          <w:docPartUnique/>
        </w:docPartObj>
      </w:sdtPr>
      <w:sdtEndPr>
        <w:rPr>
          <w:rFonts w:ascii="宋体" w:hAnsi="宋体" w:eastAsia="宋体" w:cstheme="minorBidi"/>
          <w:kern w:val="2"/>
          <w:sz w:val="21"/>
          <w:szCs w:val="21"/>
          <w:lang w:val="en-US" w:eastAsia="zh-CN" w:bidi="ar-SA"/>
        </w:rPr>
      </w:sdtEndPr>
      <w:sdtContent>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目</w:t>
          </w:r>
          <w:r>
            <w:rPr>
              <w:rFonts w:hint="eastAsia" w:ascii="方正小标宋_GBK" w:hAnsi="方正小标宋_GBK" w:eastAsia="方正小标宋_GBK" w:cs="方正小标宋_GBK"/>
              <w:sz w:val="44"/>
              <w:szCs w:val="44"/>
              <w:lang w:val="en-US" w:eastAsia="zh-CN"/>
            </w:rPr>
            <w:t xml:space="preserve">  </w:t>
          </w:r>
          <w:r>
            <w:rPr>
              <w:rFonts w:hint="eastAsia" w:ascii="方正小标宋_GBK" w:hAnsi="方正小标宋_GBK" w:eastAsia="方正小标宋_GBK" w:cs="方正小标宋_GBK"/>
              <w:sz w:val="44"/>
              <w:szCs w:val="44"/>
            </w:rPr>
            <w:t>录</w:t>
          </w:r>
        </w:p>
        <w:p>
          <w:pPr>
            <w:pStyle w:val="14"/>
            <w:rPr>
              <w:rFonts w:hint="default" w:ascii="Times New Roman" w:hAnsi="Times New Roman" w:eastAsia="仿宋_GB2312" w:cs="Times New Roman"/>
              <w:sz w:val="32"/>
              <w:szCs w:val="32"/>
            </w:rPr>
          </w:pPr>
        </w:p>
        <w:p>
          <w:pPr>
            <w:pStyle w:val="14"/>
            <w:rPr>
              <w:rFonts w:hint="default" w:ascii="Times New Roman" w:hAnsi="Times New Roman" w:eastAsia="仿宋_GB2312" w:cs="Times New Roman"/>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TOC \o "1-3" \h \u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_Toc69444037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6"/>
              <w:lang w:val="en-US" w:eastAsia="zh-CN"/>
            </w:rPr>
            <w:t>第一章  食品安全管理</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_Toc69444037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1</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7"/>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_Toc614903023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eastAsia="zh-CN"/>
            </w:rPr>
            <w:t>一、 责任落实</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_Toc614903023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1</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_Toc74607929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eastAsia="zh-CN"/>
            </w:rPr>
            <w:t>（一） 学校主体责任</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_Toc74607929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1</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_Toc138115532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val="en-US" w:eastAsia="zh-CN"/>
            </w:rPr>
            <w:t>（二） 教育行政部门责任</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_Toc138115532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3</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7"/>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_Toc709468073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eastAsia="zh-CN"/>
            </w:rPr>
            <w:t>二、 食堂场所流程布局</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_Toc709468073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4</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_Toc549376687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eastAsia="zh-CN"/>
            </w:rPr>
            <w:t>（一） 食堂建筑</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_Toc549376687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4</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_Toc2079282239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eastAsia="zh-CN"/>
            </w:rPr>
            <w:t>（二） 食品处理区</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_Toc2079282239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4</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_Toc1282452740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eastAsia="zh-CN"/>
            </w:rPr>
            <w:t>（三） 辅助区</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_Toc1282452740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4</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7"/>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_Toc1116586490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eastAsia="zh-CN"/>
            </w:rPr>
            <w:t>三、 食堂设施设备配备</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_Toc1116586490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5</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_Toc1168694785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eastAsia="zh-CN"/>
            </w:rPr>
            <w:t>（一） 原料贮存设施</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_Toc1168694785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5</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_Toc132055367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eastAsia="zh-CN"/>
            </w:rPr>
            <w:t>（二） 清洗消毒和洗手设施</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_Toc132055367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5</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_Toc663689714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eastAsia="zh-CN"/>
            </w:rPr>
            <w:t>（三） 有害生物防治设施</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_Toc663689714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5</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_Toc1344624145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eastAsia="zh-CN"/>
            </w:rPr>
            <w:t>（四） 给排水设施</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_Toc1344624145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6</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_Toc412967366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eastAsia="zh-CN"/>
            </w:rPr>
            <w:t>（五） 卫生间</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_Toc412967366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6</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7"/>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_Toc184712093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rPr>
            <w:t xml:space="preserve">四、 </w:t>
          </w:r>
          <w:r>
            <w:rPr>
              <w:rFonts w:hint="default" w:ascii="Times New Roman" w:hAnsi="Times New Roman" w:eastAsia="仿宋_GB2312" w:cs="Times New Roman"/>
              <w:szCs w:val="32"/>
              <w:lang w:eastAsia="zh-CN"/>
            </w:rPr>
            <w:t>食堂管理关键环节</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_Toc184712093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6</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_Toc1788578286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val="en-US" w:eastAsia="zh-CN"/>
            </w:rPr>
            <w:t>（一） 信息公示</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_Toc1788578286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6</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_Toc114906143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val="en-US" w:eastAsia="zh-CN"/>
            </w:rPr>
            <w:t>（二） 食材采购</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_Toc114906143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7</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_Toc1372917635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val="en-US" w:eastAsia="zh-CN"/>
            </w:rPr>
            <w:t>（三） 进货查验与索证索票</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_Toc1372917635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7</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_Toc70314403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val="en-US" w:eastAsia="zh-CN"/>
            </w:rPr>
            <w:t>（四） 原料贮存</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_Toc70314403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8</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_Toc1115205626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val="en-US" w:eastAsia="zh-CN"/>
            </w:rPr>
            <w:t>（五） 加工制作</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_Toc1115205626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8</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_Toc336676277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val="en-US" w:eastAsia="zh-CN"/>
            </w:rPr>
            <w:t>（六） 原料及成品配送</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_Toc336676277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9</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_Toc1934212473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val="en-US" w:eastAsia="zh-CN"/>
            </w:rPr>
            <w:t>（七） 人员管理</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_Toc1934212473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9</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_Toc1432883024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val="en-US" w:eastAsia="zh-CN"/>
            </w:rPr>
            <w:t>（八） 添加剂管理</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_Toc1432883024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10</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_Toc26071771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val="en-US" w:eastAsia="zh-CN"/>
            </w:rPr>
            <w:t>（九） 食品留样</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_Toc26071771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11</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_Toc1840676837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val="en-US" w:eastAsia="zh-CN"/>
            </w:rPr>
            <w:t>（十） 清洗消毒</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_Toc1840676837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11</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_Toc2090985600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val="en-US" w:eastAsia="zh-CN"/>
            </w:rPr>
            <w:t>（十一） 环境卫生</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_Toc2090985600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11</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_Toc239937627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val="en-US" w:eastAsia="zh-CN"/>
            </w:rPr>
            <w:t>（十二） 餐厨废弃物处置</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_Toc239937627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12</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_Toc959654900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bCs w:val="0"/>
              <w:szCs w:val="32"/>
              <w:lang w:val="en-US" w:eastAsia="zh-CN"/>
            </w:rPr>
            <w:t>（十三） 特殊食品和过敏原控制</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_Toc959654900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12</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7"/>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_Toc630112770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eastAsia="zh-CN"/>
            </w:rPr>
            <w:t>五、 食堂承包（委托）经营及校外供餐管理</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_Toc630112770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13</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_Toc489522762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eastAsia="zh-CN"/>
            </w:rPr>
            <w:t>（一） 食堂承包（委托）经营</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_Toc489522762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13</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_Toc311105429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eastAsia="zh-CN"/>
            </w:rPr>
            <w:t>（二） 校外供餐管理</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_Toc311105429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14</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textAlignment w:val="auto"/>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_Toc699556807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6"/>
              <w:lang w:val="en-US" w:eastAsia="zh-CN"/>
            </w:rPr>
            <w:t>第二章  膳食经费管理</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_Toc699556807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16</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_Toc1104425785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rPr>
            <w:t>一、 一般要求</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_Toc1104425785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16</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7"/>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_Toc385713358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rPr>
            <w:t>二、营养改善计划经费管理</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_Toc385713358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20</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textAlignment w:val="auto"/>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_Toc837672339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6"/>
              <w:lang w:val="en-US" w:eastAsia="zh-CN"/>
            </w:rPr>
            <w:t>第三章  纪法责任</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_Toc837672339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23</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0"/>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_Toc1813893858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eastAsia="zh-CN"/>
            </w:rPr>
            <w:t>一、 食品安全管理类</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_Toc1813893858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23</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7"/>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_Toc935090045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lang w:val="en-US" w:eastAsia="zh-CN"/>
            </w:rPr>
            <w:t xml:space="preserve">二、 </w:t>
          </w:r>
          <w:r>
            <w:rPr>
              <w:rFonts w:hint="default" w:ascii="Times New Roman" w:hAnsi="Times New Roman" w:eastAsia="仿宋_GB2312" w:cs="Times New Roman"/>
              <w:szCs w:val="32"/>
              <w:lang w:eastAsia="zh-CN"/>
            </w:rPr>
            <w:t>膳食经费管理类</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_Toc935090045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29</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pPr>
            <w:pStyle w:val="17"/>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s="Times New Roman"/>
            </w:rPr>
          </w:pPr>
          <w:r>
            <w:rPr>
              <w:rFonts w:hint="default" w:ascii="Times New Roman" w:hAnsi="Times New Roman" w:eastAsia="仿宋_GB2312" w:cs="Times New Roman"/>
              <w:szCs w:val="32"/>
            </w:rPr>
            <w:fldChar w:fldCharType="begin"/>
          </w:r>
          <w:r>
            <w:rPr>
              <w:rFonts w:hint="default" w:ascii="Times New Roman" w:hAnsi="Times New Roman" w:eastAsia="仿宋_GB2312" w:cs="Times New Roman"/>
              <w:szCs w:val="32"/>
            </w:rPr>
            <w:instrText xml:space="preserve"> HYPERLINK \l _Toc769470931 </w:instrText>
          </w:r>
          <w:r>
            <w:rPr>
              <w:rFonts w:hint="default" w:ascii="Times New Roman" w:hAnsi="Times New Roman" w:eastAsia="仿宋_GB2312" w:cs="Times New Roman"/>
              <w:szCs w:val="32"/>
            </w:rPr>
            <w:fldChar w:fldCharType="separate"/>
          </w:r>
          <w:r>
            <w:rPr>
              <w:rFonts w:hint="default" w:ascii="Times New Roman" w:hAnsi="Times New Roman" w:eastAsia="仿宋_GB2312" w:cs="Times New Roman"/>
              <w:szCs w:val="32"/>
            </w:rPr>
            <w:t>参考</w:t>
          </w:r>
          <w:r>
            <w:rPr>
              <w:rFonts w:hint="default" w:ascii="Times New Roman" w:hAnsi="Times New Roman" w:eastAsia="仿宋_GB2312" w:cs="Times New Roman"/>
              <w:szCs w:val="32"/>
              <w:lang w:eastAsia="zh-CN"/>
            </w:rPr>
            <w:t>文献：</w:t>
          </w:r>
          <w:r>
            <w:rPr>
              <w:rFonts w:hint="default" w:ascii="Times New Roman" w:hAnsi="Times New Roman" w:eastAsia="仿宋_GB2312" w:cs="Times New Roman"/>
            </w:rPr>
            <w:tab/>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PAGEREF _Toc769470931 \h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32</w:t>
          </w:r>
          <w:r>
            <w:rPr>
              <w:rFonts w:hint="default" w:ascii="Times New Roman" w:hAnsi="Times New Roman" w:eastAsia="仿宋_GB2312" w:cs="Times New Roman"/>
            </w:rPr>
            <w:fldChar w:fldCharType="end"/>
          </w:r>
          <w:r>
            <w:rPr>
              <w:rFonts w:hint="default" w:ascii="Times New Roman" w:hAnsi="Times New Roman" w:eastAsia="仿宋_GB2312" w:cs="Times New Roman"/>
              <w:szCs w:val="32"/>
            </w:rPr>
            <w:fldChar w:fldCharType="end"/>
          </w:r>
        </w:p>
        <w:p>
          <w:r>
            <w:rPr>
              <w:rFonts w:hint="default" w:ascii="Times New Roman" w:hAnsi="Times New Roman" w:eastAsia="仿宋_GB2312" w:cs="Times New Roman"/>
              <w:szCs w:val="32"/>
            </w:rPr>
            <w:fldChar w:fldCharType="end"/>
          </w:r>
        </w:p>
      </w:sdtContent>
    </w:sdt>
    <w:p>
      <w:pPr>
        <w:pStyle w:val="12"/>
        <w:pageBreakBefore w:val="0"/>
        <w:widowControl w:val="0"/>
        <w:kinsoku/>
        <w:wordWrap/>
        <w:overflowPunct/>
        <w:topLinePunct w:val="0"/>
        <w:autoSpaceDE/>
        <w:autoSpaceDN/>
        <w:bidi w:val="0"/>
        <w:adjustRightInd/>
        <w:spacing w:line="500" w:lineRule="exact"/>
        <w:ind w:left="0" w:leftChars="0" w:firstLine="0" w:firstLineChars="0"/>
        <w:jc w:val="center"/>
        <w:textAlignment w:val="auto"/>
        <w:outlineLvl w:val="0"/>
        <w:rPr>
          <w:rFonts w:hint="default" w:ascii="Times New Roman" w:hAnsi="Times New Roman" w:eastAsia="方正小标宋简体" w:cs="Times New Roman"/>
          <w:color w:val="auto"/>
          <w:sz w:val="36"/>
          <w:szCs w:val="36"/>
          <w:u w:val="none"/>
          <w:lang w:val="en-US" w:eastAsia="zh-CN"/>
        </w:rPr>
        <w:sectPr>
          <w:footerReference r:id="rId7" w:type="default"/>
          <w:pgSz w:w="11906" w:h="16838"/>
          <w:pgMar w:top="1440" w:right="1800" w:bottom="1440" w:left="1800" w:header="851" w:footer="992" w:gutter="0"/>
          <w:pgNumType w:fmt="upperRoman" w:start="1"/>
          <w:cols w:space="425" w:num="1"/>
          <w:docGrid w:type="lines" w:linePitch="312" w:charSpace="0"/>
        </w:sectPr>
      </w:pPr>
      <w:bookmarkStart w:id="294" w:name="_GoBack"/>
      <w:bookmarkEnd w:id="294"/>
    </w:p>
    <w:p>
      <w:pPr>
        <w:pStyle w:val="12"/>
        <w:pageBreakBefore w:val="0"/>
        <w:widowControl w:val="0"/>
        <w:kinsoku/>
        <w:wordWrap/>
        <w:overflowPunct/>
        <w:topLinePunct w:val="0"/>
        <w:autoSpaceDE/>
        <w:autoSpaceDN/>
        <w:bidi w:val="0"/>
        <w:adjustRightInd/>
        <w:spacing w:line="500" w:lineRule="exact"/>
        <w:ind w:left="0" w:leftChars="0" w:firstLine="0" w:firstLineChars="0"/>
        <w:jc w:val="center"/>
        <w:textAlignment w:val="auto"/>
        <w:outlineLvl w:val="0"/>
        <w:rPr>
          <w:rFonts w:hint="default" w:ascii="Times New Roman" w:hAnsi="Times New Roman" w:eastAsia="方正小标宋简体" w:cs="Times New Roman"/>
          <w:color w:val="auto"/>
          <w:sz w:val="36"/>
          <w:szCs w:val="36"/>
          <w:u w:val="none"/>
          <w:lang w:val="en-US" w:eastAsia="zh-CN"/>
        </w:rPr>
      </w:pPr>
      <w:bookmarkStart w:id="9" w:name="_Toc11407"/>
      <w:bookmarkStart w:id="10" w:name="_Toc69444037"/>
      <w:r>
        <w:rPr>
          <w:rFonts w:hint="default" w:ascii="Times New Roman" w:hAnsi="Times New Roman" w:eastAsia="方正小标宋简体" w:cs="Times New Roman"/>
          <w:color w:val="auto"/>
          <w:sz w:val="36"/>
          <w:szCs w:val="36"/>
          <w:u w:val="none"/>
          <w:lang w:val="en-US" w:eastAsia="zh-CN"/>
        </w:rPr>
        <w:t>第一章  食品安全管理</w:t>
      </w:r>
      <w:bookmarkEnd w:id="9"/>
      <w:bookmarkEnd w:id="10"/>
    </w:p>
    <w:p>
      <w:pPr>
        <w:keepNext w:val="0"/>
        <w:keepLines w:val="0"/>
        <w:pageBreakBefore w:val="0"/>
        <w:widowControl w:val="0"/>
        <w:numPr>
          <w:ilvl w:val="0"/>
          <w:numId w:val="0"/>
        </w:numPr>
        <w:kinsoku/>
        <w:wordWrap/>
        <w:overflowPunct/>
        <w:topLinePunct w:val="0"/>
        <w:autoSpaceDE/>
        <w:autoSpaceDN/>
        <w:bidi w:val="0"/>
        <w:adjustRightInd/>
        <w:spacing w:line="500" w:lineRule="exact"/>
        <w:jc w:val="left"/>
        <w:textAlignment w:val="auto"/>
        <w:rPr>
          <w:rFonts w:hint="default" w:ascii="Times New Roman" w:hAnsi="Times New Roman" w:eastAsia="方正黑体_GBK" w:cs="Times New Roman"/>
          <w:color w:val="auto"/>
          <w:u w:val="none"/>
          <w:lang w:eastAsia="zh-CN"/>
        </w:rPr>
      </w:pPr>
    </w:p>
    <w:p>
      <w:pPr>
        <w:keepNext w:val="0"/>
        <w:keepLines w:val="0"/>
        <w:pageBreakBefore w:val="0"/>
        <w:widowControl w:val="0"/>
        <w:numPr>
          <w:ilvl w:val="0"/>
          <w:numId w:val="1"/>
        </w:numPr>
        <w:kinsoku/>
        <w:wordWrap/>
        <w:overflowPunct/>
        <w:topLinePunct w:val="0"/>
        <w:autoSpaceDE/>
        <w:autoSpaceDN/>
        <w:bidi w:val="0"/>
        <w:adjustRightInd/>
        <w:spacing w:line="560" w:lineRule="exact"/>
        <w:ind w:firstLine="640"/>
        <w:jc w:val="both"/>
        <w:textAlignment w:val="auto"/>
        <w:outlineLvl w:val="1"/>
        <w:rPr>
          <w:rFonts w:hint="default" w:ascii="Times New Roman" w:hAnsi="Times New Roman" w:eastAsia="方正黑体_GBK" w:cs="Times New Roman"/>
          <w:color w:val="auto"/>
          <w:sz w:val="32"/>
          <w:szCs w:val="32"/>
          <w:u w:val="none"/>
          <w:lang w:eastAsia="zh-CN"/>
        </w:rPr>
      </w:pPr>
      <w:bookmarkStart w:id="11" w:name="_Toc26115"/>
      <w:bookmarkStart w:id="12" w:name="_Toc329764517"/>
      <w:bookmarkStart w:id="13" w:name="_Toc120614877"/>
      <w:bookmarkStart w:id="14" w:name="_Toc614903023"/>
      <w:bookmarkStart w:id="15" w:name="_Toc826093763"/>
      <w:bookmarkStart w:id="16" w:name="_Toc1158465549"/>
      <w:r>
        <w:rPr>
          <w:rFonts w:hint="default" w:ascii="Times New Roman" w:hAnsi="Times New Roman" w:eastAsia="方正黑体_GBK" w:cs="Times New Roman"/>
          <w:color w:val="auto"/>
          <w:sz w:val="32"/>
          <w:szCs w:val="32"/>
          <w:u w:val="none"/>
          <w:lang w:eastAsia="zh-CN"/>
        </w:rPr>
        <w:t>责任落实</w:t>
      </w:r>
      <w:bookmarkEnd w:id="11"/>
      <w:bookmarkEnd w:id="12"/>
      <w:bookmarkEnd w:id="13"/>
      <w:bookmarkEnd w:id="14"/>
      <w:bookmarkEnd w:id="15"/>
      <w:bookmarkEnd w:id="16"/>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outlineLvl w:val="2"/>
        <w:rPr>
          <w:rFonts w:hint="eastAsia" w:ascii="楷体_GB2312" w:hAnsi="楷体_GB2312" w:eastAsia="楷体_GB2312" w:cs="楷体_GB2312"/>
          <w:color w:val="auto"/>
          <w:sz w:val="32"/>
          <w:szCs w:val="32"/>
          <w:u w:val="none"/>
          <w:lang w:eastAsia="zh-CN"/>
        </w:rPr>
      </w:pPr>
      <w:bookmarkStart w:id="17" w:name="_Toc1193941056"/>
      <w:bookmarkStart w:id="18" w:name="_Toc1927108955"/>
      <w:bookmarkStart w:id="19" w:name="_Toc74607929"/>
      <w:bookmarkStart w:id="20" w:name="_Toc23664"/>
      <w:bookmarkStart w:id="21" w:name="_Toc1900344447"/>
      <w:r>
        <w:rPr>
          <w:rFonts w:hint="eastAsia" w:ascii="楷体_GB2312" w:hAnsi="楷体_GB2312" w:eastAsia="楷体_GB2312" w:cs="楷体_GB2312"/>
          <w:color w:val="auto"/>
          <w:sz w:val="32"/>
          <w:szCs w:val="32"/>
          <w:u w:val="none"/>
          <w:lang w:eastAsia="zh-CN"/>
        </w:rPr>
        <w:t>学校主体责任</w:t>
      </w:r>
      <w:bookmarkEnd w:id="17"/>
      <w:bookmarkEnd w:id="18"/>
      <w:bookmarkEnd w:id="19"/>
      <w:bookmarkEnd w:id="20"/>
      <w:bookmarkEnd w:id="21"/>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eastAsia="zh-CN"/>
        </w:rPr>
        <w:t>学校应明确食品安全管理机构，建立由校领导、后勤部门负责人、财务部门负责人、教师代表、学生代表、家长代表等组成的食堂管理领导小组，</w:t>
      </w:r>
      <w:r>
        <w:rPr>
          <w:rFonts w:hint="eastAsia" w:ascii="仿宋_GB2312" w:hAnsi="仿宋_GB2312" w:cs="仿宋_GB2312"/>
          <w:color w:val="auto"/>
          <w:sz w:val="32"/>
          <w:szCs w:val="32"/>
          <w:u w:val="none"/>
          <w:lang w:eastAsia="zh-CN"/>
        </w:rPr>
        <w:t>每学期至少一次研究部署学校食品安全工作</w:t>
      </w:r>
      <w:r>
        <w:rPr>
          <w:rFonts w:hint="eastAsia" w:ascii="仿宋_GB2312" w:hAnsi="仿宋_GB2312" w:eastAsia="仿宋_GB2312" w:cs="仿宋_GB2312"/>
          <w:color w:val="auto"/>
          <w:sz w:val="32"/>
          <w:szCs w:val="32"/>
          <w:u w:val="none"/>
          <w:lang w:eastAsia="zh-CN"/>
        </w:rPr>
        <w:t>，</w:t>
      </w:r>
      <w:r>
        <w:rPr>
          <w:rFonts w:hint="eastAsia" w:ascii="仿宋_GB2312" w:hAnsi="仿宋_GB2312" w:cs="仿宋_GB2312"/>
          <w:color w:val="auto"/>
          <w:sz w:val="32"/>
          <w:szCs w:val="32"/>
          <w:u w:val="none"/>
          <w:lang w:val="en-US" w:eastAsia="zh-CN"/>
        </w:rPr>
        <w:t>梳理</w:t>
      </w:r>
      <w:r>
        <w:rPr>
          <w:rFonts w:hint="eastAsia" w:ascii="仿宋_GB2312" w:hAnsi="仿宋_GB2312" w:eastAsia="仿宋_GB2312" w:cs="仿宋_GB2312"/>
          <w:color w:val="auto"/>
          <w:sz w:val="32"/>
          <w:szCs w:val="32"/>
          <w:u w:val="none"/>
          <w:lang w:eastAsia="zh-CN"/>
        </w:rPr>
        <w:t>食品安全风险管控清单</w:t>
      </w:r>
      <w:r>
        <w:rPr>
          <w:rFonts w:hint="eastAsia" w:ascii="仿宋_GB2312" w:hAnsi="仿宋_GB2312" w:cs="仿宋_GB2312"/>
          <w:color w:val="auto"/>
          <w:sz w:val="32"/>
          <w:szCs w:val="32"/>
          <w:u w:val="none"/>
          <w:lang w:eastAsia="zh-CN"/>
        </w:rPr>
        <w:t>，组织</w:t>
      </w:r>
      <w:r>
        <w:rPr>
          <w:rFonts w:hint="eastAsia" w:ascii="仿宋_GB2312" w:hAnsi="仿宋_GB2312" w:eastAsia="仿宋_GB2312" w:cs="仿宋_GB2312"/>
          <w:color w:val="auto"/>
          <w:sz w:val="32"/>
          <w:szCs w:val="32"/>
          <w:u w:val="none"/>
          <w:lang w:eastAsia="zh-CN"/>
        </w:rPr>
        <w:t>开展食品安全监督检查和风险防范。</w:t>
      </w:r>
      <w:r>
        <w:rPr>
          <w:rFonts w:hint="eastAsia" w:ascii="仿宋_GB2312" w:hAnsi="仿宋_GB2312" w:eastAsia="仿宋_GB2312" w:cs="仿宋_GB2312"/>
          <w:color w:val="auto"/>
          <w:sz w:val="32"/>
          <w:szCs w:val="32"/>
          <w:u w:val="none"/>
          <w:lang w:val="en-US" w:eastAsia="zh-CN"/>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eastAsia="zh-CN"/>
        </w:rPr>
        <w:t>学校应建立并不断完善食材采购、进货查验、食品加工制作、食品添加剂使用管理、临期食品管理、食品留样、清洗消毒、餐厨废弃物处置、</w:t>
      </w:r>
      <w:r>
        <w:rPr>
          <w:rFonts w:hint="eastAsia" w:ascii="仿宋_GB2312" w:hAnsi="仿宋_GB2312" w:cs="仿宋_GB2312"/>
          <w:color w:val="auto"/>
          <w:sz w:val="32"/>
          <w:szCs w:val="32"/>
          <w:u w:val="none"/>
          <w:lang w:eastAsia="zh-CN"/>
        </w:rPr>
        <w:t>设备</w:t>
      </w:r>
      <w:r>
        <w:rPr>
          <w:rFonts w:hint="eastAsia" w:ascii="仿宋_GB2312" w:hAnsi="仿宋_GB2312" w:eastAsia="仿宋_GB2312" w:cs="仿宋_GB2312"/>
          <w:color w:val="auto"/>
          <w:sz w:val="32"/>
          <w:szCs w:val="32"/>
          <w:u w:val="none"/>
          <w:lang w:eastAsia="zh-CN"/>
        </w:rPr>
        <w:t>维修保养校验、环境检测、人员健康管理和培训考核、食品安全自查、食堂安全保卫、食品安全信息追溯、投诉举报处理等食品安全管理制度，</w:t>
      </w:r>
      <w:r>
        <w:rPr>
          <w:rFonts w:hint="eastAsia" w:ascii="仿宋_GB2312" w:hAnsi="仿宋_GB2312" w:eastAsia="仿宋_GB2312" w:cs="仿宋_GB2312"/>
          <w:color w:val="auto"/>
          <w:sz w:val="32"/>
          <w:szCs w:val="32"/>
          <w:u w:val="none"/>
          <w:lang w:val="en-US" w:eastAsia="zh-CN"/>
        </w:rPr>
        <w:t>并</w:t>
      </w:r>
      <w:r>
        <w:rPr>
          <w:rFonts w:hint="eastAsia" w:ascii="仿宋_GB2312" w:hAnsi="仿宋_GB2312" w:eastAsia="仿宋_GB2312" w:cs="仿宋_GB2312"/>
          <w:color w:val="auto"/>
          <w:sz w:val="32"/>
          <w:szCs w:val="32"/>
          <w:u w:val="none"/>
          <w:lang w:eastAsia="zh-CN"/>
        </w:rPr>
        <w:t>制定食品安全突发事件应急处置方案。每年至少开展一次制度自查，当国家食品安全法律、法规、规章、规范性文件和食品安全标准发生变化时，及时</w:t>
      </w:r>
      <w:r>
        <w:rPr>
          <w:rFonts w:hint="eastAsia" w:ascii="仿宋_GB2312" w:hAnsi="仿宋_GB2312" w:eastAsia="仿宋_GB2312" w:cs="仿宋_GB2312"/>
          <w:color w:val="auto"/>
          <w:sz w:val="32"/>
          <w:szCs w:val="32"/>
          <w:u w:val="none"/>
          <w:lang w:val="en-US" w:eastAsia="zh-CN"/>
        </w:rPr>
        <w:t>进行</w:t>
      </w:r>
      <w:r>
        <w:rPr>
          <w:rFonts w:hint="eastAsia" w:ascii="仿宋_GB2312" w:hAnsi="仿宋_GB2312" w:eastAsia="仿宋_GB2312" w:cs="仿宋_GB2312"/>
          <w:color w:val="auto"/>
          <w:sz w:val="32"/>
          <w:szCs w:val="32"/>
          <w:u w:val="none"/>
          <w:lang w:eastAsia="zh-CN"/>
        </w:rPr>
        <w:t>制度修订。</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校长</w:t>
      </w:r>
      <w:r>
        <w:rPr>
          <w:rFonts w:hint="eastAsia" w:ascii="仿宋_GB2312" w:hAnsi="仿宋_GB2312" w:eastAsia="仿宋_GB2312" w:cs="仿宋_GB2312"/>
          <w:color w:val="auto"/>
          <w:sz w:val="32"/>
          <w:szCs w:val="32"/>
          <w:u w:val="none"/>
          <w:lang w:eastAsia="zh-CN"/>
        </w:rPr>
        <w:t>应切实履行学校食品安全第一责任人</w:t>
      </w:r>
      <w:r>
        <w:rPr>
          <w:rFonts w:hint="eastAsia" w:ascii="仿宋_GB2312" w:hAnsi="仿宋_GB2312" w:eastAsia="仿宋_GB2312" w:cs="仿宋_GB2312"/>
          <w:color w:val="auto"/>
          <w:sz w:val="32"/>
          <w:szCs w:val="32"/>
          <w:u w:val="none"/>
          <w:lang w:val="en-US" w:eastAsia="zh-CN"/>
        </w:rPr>
        <w:t>责任</w:t>
      </w:r>
      <w:r>
        <w:rPr>
          <w:rFonts w:hint="eastAsia" w:ascii="仿宋_GB2312" w:hAnsi="仿宋_GB2312" w:eastAsia="仿宋_GB2312" w:cs="仿宋_GB2312"/>
          <w:color w:val="auto"/>
          <w:sz w:val="32"/>
          <w:szCs w:val="32"/>
          <w:u w:val="none"/>
          <w:lang w:eastAsia="zh-CN"/>
        </w:rPr>
        <w:t>，将食品安全工作列入学校重要议事</w:t>
      </w:r>
      <w:r>
        <w:rPr>
          <w:rFonts w:hint="eastAsia" w:ascii="仿宋_GB2312" w:hAnsi="仿宋_GB2312" w:eastAsia="仿宋_GB2312" w:cs="仿宋_GB2312"/>
          <w:color w:val="auto"/>
          <w:sz w:val="32"/>
          <w:szCs w:val="32"/>
          <w:u w:val="none"/>
          <w:lang w:val="en-US" w:eastAsia="zh-CN"/>
        </w:rPr>
        <w:t>内容</w:t>
      </w:r>
      <w:r>
        <w:rPr>
          <w:rFonts w:hint="eastAsia" w:ascii="仿宋_GB2312" w:hAnsi="仿宋_GB2312" w:eastAsia="仿宋_GB2312" w:cs="仿宋_GB2312"/>
          <w:color w:val="auto"/>
          <w:sz w:val="32"/>
          <w:szCs w:val="32"/>
          <w:u w:val="none"/>
          <w:lang w:eastAsia="zh-CN"/>
        </w:rPr>
        <w:t>，</w:t>
      </w:r>
      <w:r>
        <w:rPr>
          <w:rFonts w:hint="eastAsia" w:ascii="仿宋_GB2312" w:hAnsi="仿宋_GB2312" w:cs="仿宋_GB2312"/>
          <w:color w:val="auto"/>
          <w:sz w:val="32"/>
          <w:szCs w:val="32"/>
          <w:u w:val="none"/>
          <w:lang w:eastAsia="zh-CN"/>
        </w:rPr>
        <w:t>对重大问题亲自抓、亲自管，</w:t>
      </w:r>
      <w:r>
        <w:rPr>
          <w:rFonts w:hint="eastAsia" w:ascii="仿宋_GB2312" w:hAnsi="仿宋_GB2312" w:eastAsia="仿宋_GB2312" w:cs="仿宋_GB2312"/>
          <w:color w:val="auto"/>
          <w:sz w:val="32"/>
          <w:szCs w:val="32"/>
          <w:u w:val="none"/>
          <w:lang w:eastAsia="zh-CN"/>
        </w:rPr>
        <w:t>每学期至少</w:t>
      </w:r>
      <w:r>
        <w:rPr>
          <w:rFonts w:hint="eastAsia" w:ascii="仿宋_GB2312" w:hAnsi="仿宋_GB2312" w:eastAsia="仿宋_GB2312" w:cs="仿宋_GB2312"/>
          <w:color w:val="auto"/>
          <w:sz w:val="32"/>
          <w:szCs w:val="32"/>
          <w:u w:val="none"/>
        </w:rPr>
        <w:t>在食堂召开一次现场办公会，实地查看了解食品安全工作情况、解决问题</w:t>
      </w:r>
      <w:r>
        <w:rPr>
          <w:rFonts w:hint="eastAsia" w:ascii="仿宋_GB2312" w:hAnsi="仿宋_GB2312" w:eastAsia="仿宋_GB2312" w:cs="仿宋_GB2312"/>
          <w:color w:val="auto"/>
          <w:sz w:val="32"/>
          <w:szCs w:val="32"/>
          <w:u w:val="none"/>
          <w:lang w:val="en-US" w:eastAsia="zh-CN"/>
        </w:rPr>
        <w:t>并</w:t>
      </w:r>
      <w:r>
        <w:rPr>
          <w:rFonts w:hint="eastAsia" w:ascii="仿宋_GB2312" w:hAnsi="仿宋_GB2312" w:eastAsia="仿宋_GB2312" w:cs="仿宋_GB2312"/>
          <w:color w:val="auto"/>
          <w:sz w:val="32"/>
          <w:szCs w:val="32"/>
          <w:u w:val="none"/>
        </w:rPr>
        <w:t>部署</w:t>
      </w:r>
      <w:r>
        <w:rPr>
          <w:rFonts w:hint="eastAsia" w:ascii="仿宋_GB2312" w:hAnsi="仿宋_GB2312" w:eastAsia="仿宋_GB2312" w:cs="仿宋_GB2312"/>
          <w:color w:val="auto"/>
          <w:sz w:val="32"/>
          <w:szCs w:val="32"/>
          <w:u w:val="none"/>
          <w:lang w:val="en-US" w:eastAsia="zh-CN"/>
        </w:rPr>
        <w:t>相关</w:t>
      </w:r>
      <w:r>
        <w:rPr>
          <w:rFonts w:hint="eastAsia" w:ascii="仿宋_GB2312" w:hAnsi="仿宋_GB2312" w:eastAsia="仿宋_GB2312" w:cs="仿宋_GB2312"/>
          <w:color w:val="auto"/>
          <w:sz w:val="32"/>
          <w:szCs w:val="32"/>
          <w:u w:val="none"/>
        </w:rPr>
        <w:t>工作。</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rPr>
      </w:pPr>
      <w:r>
        <w:rPr>
          <w:rFonts w:hint="eastAsia" w:ascii="仿宋_GB2312" w:hAnsi="仿宋_GB2312" w:cs="仿宋_GB2312"/>
          <w:color w:val="auto"/>
          <w:sz w:val="32"/>
          <w:szCs w:val="32"/>
          <w:u w:val="none"/>
          <w:lang w:val="en-US" w:eastAsia="zh-CN"/>
        </w:rPr>
        <w:t>学校应严格规范执行陪餐制度，按一定周期排定陪餐人员安排，确保</w:t>
      </w:r>
      <w:r>
        <w:rPr>
          <w:rFonts w:hint="eastAsia" w:ascii="仿宋_GB2312" w:hAnsi="仿宋_GB2312" w:eastAsia="仿宋_GB2312" w:cs="仿宋_GB2312"/>
          <w:color w:val="auto"/>
          <w:sz w:val="32"/>
          <w:szCs w:val="32"/>
          <w:u w:val="none"/>
        </w:rPr>
        <w:t>每餐均有学校相关负责人与学生共同用餐</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有条件</w:t>
      </w:r>
      <w:r>
        <w:rPr>
          <w:rFonts w:hint="eastAsia" w:ascii="仿宋_GB2312" w:hAnsi="仿宋_GB2312" w:eastAsia="仿宋_GB2312" w:cs="仿宋_GB2312"/>
          <w:color w:val="auto"/>
          <w:sz w:val="32"/>
          <w:szCs w:val="32"/>
          <w:u w:val="none"/>
          <w:lang w:eastAsia="zh-CN"/>
        </w:rPr>
        <w:t>的</w:t>
      </w:r>
      <w:r>
        <w:rPr>
          <w:rFonts w:hint="eastAsia" w:ascii="仿宋_GB2312" w:hAnsi="仿宋_GB2312" w:eastAsia="仿宋_GB2312" w:cs="仿宋_GB2312"/>
          <w:color w:val="auto"/>
          <w:sz w:val="32"/>
          <w:szCs w:val="32"/>
          <w:u w:val="none"/>
          <w:lang w:val="en-US" w:eastAsia="zh-CN"/>
        </w:rPr>
        <w:t>中小学</w:t>
      </w:r>
      <w:r>
        <w:rPr>
          <w:rFonts w:hint="eastAsia" w:ascii="仿宋_GB2312" w:hAnsi="仿宋_GB2312" w:cs="仿宋_GB2312"/>
          <w:color w:val="auto"/>
          <w:sz w:val="32"/>
          <w:szCs w:val="32"/>
          <w:u w:val="none"/>
          <w:lang w:eastAsia="zh-CN"/>
        </w:rPr>
        <w:t>应</w:t>
      </w:r>
      <w:r>
        <w:rPr>
          <w:rFonts w:hint="eastAsia" w:ascii="仿宋_GB2312" w:hAnsi="仿宋_GB2312" w:eastAsia="仿宋_GB2312" w:cs="仿宋_GB2312"/>
          <w:color w:val="auto"/>
          <w:sz w:val="32"/>
          <w:szCs w:val="32"/>
          <w:u w:val="none"/>
        </w:rPr>
        <w:t>建立家长陪餐制度。陪餐人员应随同学生一起就餐，对食品的感官、口味、质量等进行评价，征求就餐学生的意见建议，做好陪餐记录</w:t>
      </w:r>
      <w:r>
        <w:rPr>
          <w:rFonts w:hint="eastAsia" w:ascii="仿宋_GB2312" w:hAnsi="仿宋_GB2312" w:cs="仿宋_GB2312"/>
          <w:color w:val="auto"/>
          <w:sz w:val="32"/>
          <w:szCs w:val="32"/>
          <w:u w:val="none"/>
          <w:lang w:eastAsia="zh-CN"/>
        </w:rPr>
        <w:t>并由本人签字</w:t>
      </w:r>
      <w:r>
        <w:rPr>
          <w:rFonts w:hint="eastAsia" w:ascii="仿宋_GB2312" w:hAnsi="仿宋_GB2312" w:eastAsia="仿宋_GB2312" w:cs="仿宋_GB2312"/>
          <w:color w:val="auto"/>
          <w:sz w:val="32"/>
          <w:szCs w:val="32"/>
          <w:u w:val="none"/>
        </w:rPr>
        <w:t>。</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学校</w:t>
      </w:r>
      <w:r>
        <w:rPr>
          <w:rFonts w:hint="eastAsia" w:ascii="仿宋_GB2312" w:hAnsi="仿宋_GB2312" w:cs="仿宋_GB2312"/>
          <w:color w:val="auto"/>
          <w:sz w:val="32"/>
          <w:szCs w:val="32"/>
          <w:u w:val="none"/>
          <w:lang w:val="en-US" w:eastAsia="zh-CN"/>
        </w:rPr>
        <w:t>应</w:t>
      </w:r>
      <w:r>
        <w:rPr>
          <w:rFonts w:hint="eastAsia" w:ascii="仿宋_GB2312" w:hAnsi="仿宋_GB2312" w:eastAsia="仿宋_GB2312" w:cs="仿宋_GB2312"/>
          <w:color w:val="auto"/>
          <w:sz w:val="32"/>
          <w:szCs w:val="32"/>
          <w:u w:val="none"/>
          <w:lang w:val="en-US" w:eastAsia="zh-CN"/>
        </w:rPr>
        <w:t>通过电话、信箱、电子邮箱、</w:t>
      </w:r>
      <w:r>
        <w:rPr>
          <w:rFonts w:hint="eastAsia" w:ascii="仿宋_GB2312" w:hAnsi="仿宋_GB2312" w:cs="仿宋_GB2312"/>
          <w:color w:val="auto"/>
          <w:sz w:val="32"/>
          <w:szCs w:val="32"/>
          <w:u w:val="none"/>
          <w:lang w:val="en-US" w:eastAsia="zh-CN"/>
        </w:rPr>
        <w:t>微信群</w:t>
      </w:r>
      <w:r>
        <w:rPr>
          <w:rFonts w:hint="eastAsia" w:ascii="仿宋_GB2312" w:hAnsi="仿宋_GB2312" w:eastAsia="仿宋_GB2312" w:cs="仿宋_GB2312"/>
          <w:color w:val="auto"/>
          <w:sz w:val="32"/>
          <w:szCs w:val="32"/>
          <w:u w:val="none"/>
          <w:lang w:val="en-US" w:eastAsia="zh-CN"/>
        </w:rPr>
        <w:t>等形式，畅通食品安全投诉举报渠道，听取师生家长对食堂、外购食品以及其他有关食品安全的意见、建议，如实记录，</w:t>
      </w:r>
      <w:r>
        <w:rPr>
          <w:rFonts w:hint="eastAsia" w:ascii="仿宋_GB2312" w:hAnsi="仿宋_GB2312" w:cs="仿宋_GB2312"/>
          <w:color w:val="auto"/>
          <w:sz w:val="32"/>
          <w:szCs w:val="32"/>
          <w:u w:val="none"/>
          <w:lang w:val="en-US" w:eastAsia="zh-CN"/>
        </w:rPr>
        <w:t>分类及时处理，不拖延、不塞责、不敷衍</w:t>
      </w:r>
      <w:r>
        <w:rPr>
          <w:rFonts w:hint="eastAsia" w:ascii="仿宋_GB2312" w:hAnsi="仿宋_GB2312" w:eastAsia="仿宋_GB2312" w:cs="仿宋_GB2312"/>
          <w:color w:val="auto"/>
          <w:sz w:val="32"/>
          <w:szCs w:val="32"/>
          <w:u w:val="none"/>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rPr>
        <w:t>学校每</w:t>
      </w:r>
      <w:r>
        <w:rPr>
          <w:rFonts w:hint="eastAsia" w:ascii="仿宋_GB2312" w:hAnsi="仿宋_GB2312" w:eastAsia="仿宋_GB2312" w:cs="仿宋_GB2312"/>
          <w:color w:val="auto"/>
          <w:sz w:val="32"/>
          <w:szCs w:val="32"/>
          <w:u w:val="none"/>
          <w:lang w:eastAsia="zh-CN"/>
        </w:rPr>
        <w:t>学期</w:t>
      </w:r>
      <w:r>
        <w:rPr>
          <w:rFonts w:hint="eastAsia" w:ascii="仿宋_GB2312" w:hAnsi="仿宋_GB2312" w:eastAsia="仿宋_GB2312" w:cs="仿宋_GB2312"/>
          <w:color w:val="auto"/>
          <w:sz w:val="32"/>
          <w:szCs w:val="32"/>
          <w:u w:val="none"/>
        </w:rPr>
        <w:t>应面向师生和家长分别组织开展一次食品安全</w:t>
      </w:r>
      <w:r>
        <w:rPr>
          <w:rFonts w:hint="eastAsia" w:ascii="仿宋_GB2312" w:hAnsi="仿宋_GB2312" w:eastAsia="仿宋_GB2312" w:cs="仿宋_GB2312"/>
          <w:color w:val="auto"/>
          <w:sz w:val="32"/>
          <w:szCs w:val="32"/>
          <w:u w:val="none"/>
          <w:lang w:eastAsia="zh-CN"/>
        </w:rPr>
        <w:t>及</w:t>
      </w:r>
      <w:r>
        <w:rPr>
          <w:rFonts w:hint="eastAsia" w:ascii="仿宋_GB2312" w:hAnsi="仿宋_GB2312" w:eastAsia="仿宋_GB2312" w:cs="仿宋_GB2312"/>
          <w:color w:val="auto"/>
          <w:sz w:val="32"/>
          <w:szCs w:val="32"/>
          <w:u w:val="none"/>
        </w:rPr>
        <w:t>满意度测评，对供餐质量、价格、卫生、服务态度等进行</w:t>
      </w:r>
      <w:r>
        <w:rPr>
          <w:rFonts w:hint="eastAsia" w:ascii="仿宋_GB2312" w:hAnsi="仿宋_GB2312" w:eastAsia="仿宋_GB2312" w:cs="仿宋_GB2312"/>
          <w:color w:val="auto"/>
          <w:sz w:val="32"/>
          <w:szCs w:val="32"/>
          <w:u w:val="none"/>
          <w:lang w:val="en-US" w:eastAsia="zh-CN"/>
        </w:rPr>
        <w:t>全面</w:t>
      </w:r>
      <w:r>
        <w:rPr>
          <w:rFonts w:hint="eastAsia" w:ascii="仿宋_GB2312" w:hAnsi="仿宋_GB2312" w:eastAsia="仿宋_GB2312" w:cs="仿宋_GB2312"/>
          <w:color w:val="auto"/>
          <w:sz w:val="32"/>
          <w:szCs w:val="32"/>
          <w:u w:val="none"/>
        </w:rPr>
        <w:t>评价</w:t>
      </w:r>
      <w:r>
        <w:rPr>
          <w:rFonts w:hint="eastAsia" w:ascii="仿宋_GB2312" w:hAnsi="仿宋_GB2312" w:cs="仿宋_GB2312"/>
          <w:color w:val="auto"/>
          <w:sz w:val="32"/>
          <w:szCs w:val="32"/>
          <w:u w:val="none"/>
          <w:lang w:eastAsia="zh-CN"/>
        </w:rPr>
        <w:t>，及时查缺补漏，改进管理，提升质量，并将意见及整改情况向师生和家长反馈</w:t>
      </w:r>
      <w:r>
        <w:rPr>
          <w:rFonts w:hint="eastAsia" w:ascii="仿宋_GB2312" w:hAnsi="仿宋_GB2312" w:eastAsia="仿宋_GB2312" w:cs="仿宋_GB2312"/>
          <w:color w:val="auto"/>
          <w:sz w:val="32"/>
          <w:szCs w:val="32"/>
          <w:u w:val="none"/>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rPr>
      </w:pPr>
      <w:r>
        <w:rPr>
          <w:rFonts w:hint="eastAsia" w:ascii="仿宋_GB2312" w:hAnsi="仿宋_GB2312" w:cs="仿宋_GB2312"/>
          <w:color w:val="auto"/>
          <w:sz w:val="32"/>
          <w:szCs w:val="32"/>
          <w:u w:val="none"/>
          <w:lang w:eastAsia="zh-CN"/>
        </w:rPr>
        <w:t>发挥家长监督作用。健全家长委员会监督机制，成立校园膳食监督家长委员会，完善相关制度，规范产生和运行流程，保障家长参与招标采购、陪餐用餐、质量评价、安全检查、收支公开等重大事项监督。畅通家长委员会向主管监管部门、纪检监察机关直送问题渠道，相关部门建立及时处置和反馈办理情况工作机制</w:t>
      </w:r>
      <w:r>
        <w:rPr>
          <w:rFonts w:hint="eastAsia" w:ascii="仿宋_GB2312" w:hAnsi="仿宋_GB2312" w:eastAsia="仿宋_GB2312" w:cs="仿宋_GB2312"/>
          <w:b w:val="0"/>
          <w:bCs w:val="0"/>
          <w:color w:val="auto"/>
          <w:spacing w:val="0"/>
          <w:kern w:val="2"/>
          <w:sz w:val="32"/>
          <w:szCs w:val="32"/>
          <w:highlight w:val="none"/>
          <w:u w:val="none"/>
        </w:rPr>
        <w:t>。</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eastAsia="zh-CN"/>
        </w:rPr>
        <w:t>学校应按要求配备食品安全员，</w:t>
      </w:r>
      <w:r>
        <w:rPr>
          <w:rFonts w:hint="default" w:ascii="Times New Roman" w:hAnsi="Times New Roman" w:eastAsia="仿宋_GB2312" w:cs="Times New Roman"/>
          <w:color w:val="auto"/>
          <w:sz w:val="32"/>
          <w:szCs w:val="32"/>
          <w:u w:val="none"/>
          <w:lang w:eastAsia="zh-CN"/>
        </w:rPr>
        <w:t>500</w:t>
      </w:r>
      <w:r>
        <w:rPr>
          <w:rFonts w:hint="eastAsia" w:ascii="仿宋_GB2312" w:hAnsi="仿宋_GB2312" w:eastAsia="仿宋_GB2312" w:cs="仿宋_GB2312"/>
          <w:color w:val="auto"/>
          <w:sz w:val="32"/>
          <w:szCs w:val="32"/>
          <w:u w:val="none"/>
          <w:lang w:eastAsia="zh-CN"/>
        </w:rPr>
        <w:t>人以上的学校食堂配备食品安全总监。中小学校食品安全总监</w:t>
      </w:r>
      <w:r>
        <w:rPr>
          <w:rFonts w:hint="eastAsia" w:ascii="仿宋_GB2312" w:hAnsi="仿宋_GB2312" w:cs="仿宋_GB2312"/>
          <w:color w:val="auto"/>
          <w:sz w:val="32"/>
          <w:szCs w:val="32"/>
          <w:u w:val="none"/>
          <w:lang w:eastAsia="zh-CN"/>
        </w:rPr>
        <w:t>由</w:t>
      </w:r>
      <w:r>
        <w:rPr>
          <w:rFonts w:hint="eastAsia" w:ascii="仿宋_GB2312" w:hAnsi="仿宋_GB2312" w:eastAsia="仿宋_GB2312" w:cs="仿宋_GB2312"/>
          <w:color w:val="auto"/>
          <w:sz w:val="32"/>
          <w:szCs w:val="32"/>
          <w:u w:val="none"/>
          <w:lang w:eastAsia="zh-CN"/>
        </w:rPr>
        <w:t>负责食品安全工作的副校长或同等职位的领导担任。</w:t>
      </w:r>
      <w:r>
        <w:rPr>
          <w:rFonts w:hint="eastAsia" w:ascii="仿宋_GB2312" w:hAnsi="仿宋_GB2312" w:cs="仿宋_GB2312"/>
          <w:color w:val="auto"/>
          <w:sz w:val="32"/>
          <w:szCs w:val="32"/>
          <w:u w:val="none"/>
          <w:lang w:eastAsia="zh-CN"/>
        </w:rPr>
        <w:t>学校须</w:t>
      </w:r>
      <w:r>
        <w:rPr>
          <w:rFonts w:hint="eastAsia" w:ascii="仿宋_GB2312" w:hAnsi="仿宋_GB2312" w:eastAsia="仿宋_GB2312" w:cs="仿宋_GB2312"/>
          <w:color w:val="auto"/>
          <w:sz w:val="32"/>
          <w:szCs w:val="32"/>
          <w:u w:val="none"/>
          <w:lang w:eastAsia="zh-CN"/>
        </w:rPr>
        <w:t>支持和保障食品安全总监、食品安全员依法开展食品安全管理工作，在作出涉及食品安全的重大决策前，充分听取食品安全总监</w:t>
      </w:r>
      <w:r>
        <w:rPr>
          <w:rFonts w:hint="eastAsia" w:ascii="仿宋_GB2312" w:hAnsi="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eastAsia="zh-CN"/>
        </w:rPr>
        <w:t>食品安全员的意见和建议。</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食品安全总监按照职责要求对校长负责，协助校长做好食品安全管理工作。主要承担组织拟定食品安全管理制度，督促落实食品安全责任制，明确食品安全方面的责任要求；组织拟定并督促落实食品安全风险防控措施，定期组织食品安全自查并及时报告，对存在问题提出改进措施；组织拟定食品安全事故处置方案并</w:t>
      </w:r>
      <w:r>
        <w:rPr>
          <w:rFonts w:hint="eastAsia" w:ascii="仿宋_GB2312" w:hAnsi="仿宋_GB2312" w:eastAsia="仿宋_GB2312" w:cs="仿宋_GB2312"/>
          <w:color w:val="auto"/>
          <w:sz w:val="32"/>
          <w:szCs w:val="32"/>
          <w:u w:val="none"/>
          <w:lang w:eastAsia="zh-CN"/>
        </w:rPr>
        <w:t>适时</w:t>
      </w:r>
      <w:r>
        <w:rPr>
          <w:rFonts w:hint="eastAsia" w:ascii="仿宋_GB2312" w:hAnsi="仿宋_GB2312" w:eastAsia="仿宋_GB2312" w:cs="仿宋_GB2312"/>
          <w:color w:val="auto"/>
          <w:sz w:val="32"/>
          <w:szCs w:val="32"/>
          <w:u w:val="none"/>
        </w:rPr>
        <w:t>开展应急演练；负责管理、督促、指导食品安全员按照职责做好相关工作，组织开展职工食品安全教育</w:t>
      </w:r>
      <w:r>
        <w:rPr>
          <w:rFonts w:hint="eastAsia" w:ascii="仿宋_GB2312" w:hAnsi="仿宋_GB2312" w:eastAsia="仿宋_GB2312" w:cs="仿宋_GB2312"/>
          <w:color w:val="auto"/>
          <w:sz w:val="32"/>
          <w:szCs w:val="32"/>
          <w:u w:val="none"/>
          <w:lang w:val="en-US" w:eastAsia="zh-CN"/>
        </w:rPr>
        <w:t>和</w:t>
      </w:r>
      <w:r>
        <w:rPr>
          <w:rFonts w:hint="eastAsia" w:ascii="仿宋_GB2312" w:hAnsi="仿宋_GB2312" w:eastAsia="仿宋_GB2312" w:cs="仿宋_GB2312"/>
          <w:color w:val="auto"/>
          <w:sz w:val="32"/>
          <w:szCs w:val="32"/>
          <w:u w:val="none"/>
        </w:rPr>
        <w:t>培训；接受和配合监督检查等</w:t>
      </w:r>
      <w:r>
        <w:rPr>
          <w:rFonts w:hint="eastAsia" w:ascii="仿宋_GB2312" w:hAnsi="仿宋_GB2312" w:eastAsia="仿宋_GB2312" w:cs="仿宋_GB2312"/>
          <w:color w:val="auto"/>
          <w:sz w:val="32"/>
          <w:szCs w:val="32"/>
          <w:u w:val="none"/>
          <w:lang w:val="en-US" w:eastAsia="zh-CN"/>
        </w:rPr>
        <w:t>工作</w:t>
      </w:r>
      <w:r>
        <w:rPr>
          <w:rFonts w:hint="eastAsia" w:ascii="仿宋_GB2312" w:hAnsi="仿宋_GB2312" w:eastAsia="仿宋_GB2312" w:cs="仿宋_GB2312"/>
          <w:color w:val="auto"/>
          <w:sz w:val="32"/>
          <w:szCs w:val="32"/>
          <w:u w:val="none"/>
        </w:rPr>
        <w:t>。</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食品安全员按照职责要求对食品安全总监负责。主要承担督促落实食品安全过程控制要求；管理维护食品安全过程记录材料；对不安全食品以及发现的食品安全风险隐患及时整改并报告；记录和管理从业人员健康状况、卫生状况；配合有关部门调查处理食品安全事故等。</w:t>
      </w:r>
    </w:p>
    <w:p>
      <w:pPr>
        <w:pageBreakBefore w:val="0"/>
        <w:widowControl w:val="0"/>
        <w:numPr>
          <w:ilvl w:val="0"/>
          <w:numId w:val="3"/>
        </w:numPr>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仿宋_GB2312" w:cs="Times New Roman"/>
          <w:color w:val="auto"/>
          <w:sz w:val="32"/>
          <w:szCs w:val="32"/>
          <w:u w:val="none"/>
          <w:lang w:val="en-US" w:eastAsia="zh-CN"/>
        </w:rPr>
      </w:pPr>
      <w:r>
        <w:rPr>
          <w:rFonts w:hint="eastAsia" w:ascii="仿宋_GB2312" w:hAnsi="仿宋_GB2312" w:eastAsia="仿宋_GB2312" w:cs="仿宋_GB2312"/>
          <w:color w:val="auto"/>
          <w:sz w:val="32"/>
          <w:szCs w:val="32"/>
          <w:u w:val="none"/>
        </w:rPr>
        <w:t>学校应加强对学生的食品安全意识教育。通过课堂教学、宣传活动以及实践操作等多种形式，使学生掌握食品安全的基本知识，</w:t>
      </w:r>
      <w:r>
        <w:rPr>
          <w:rFonts w:hint="eastAsia" w:ascii="仿宋_GB2312" w:hAnsi="仿宋_GB2312" w:cs="仿宋_GB2312"/>
          <w:color w:val="auto"/>
          <w:sz w:val="32"/>
          <w:szCs w:val="32"/>
          <w:u w:val="none"/>
          <w:lang w:eastAsia="zh-CN"/>
        </w:rPr>
        <w:t>包括</w:t>
      </w:r>
      <w:r>
        <w:rPr>
          <w:rFonts w:hint="eastAsia" w:ascii="仿宋_GB2312" w:hAnsi="仿宋_GB2312" w:eastAsia="仿宋_GB2312" w:cs="仿宋_GB2312"/>
          <w:color w:val="auto"/>
          <w:sz w:val="32"/>
          <w:szCs w:val="32"/>
          <w:u w:val="none"/>
        </w:rPr>
        <w:t>如何识别健康食品、理解食品标签、避免食用过期或不卫生食品等。同时，学校应定期开展食品安全主题活动，增强学生的食品安全责任感和自我保护意识。</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outlineLvl w:val="2"/>
        <w:rPr>
          <w:rFonts w:hint="eastAsia" w:ascii="楷体_GB2312" w:hAnsi="楷体_GB2312" w:eastAsia="楷体_GB2312" w:cs="楷体_GB2312"/>
          <w:color w:val="auto"/>
          <w:sz w:val="32"/>
          <w:szCs w:val="32"/>
          <w:u w:val="none"/>
          <w:lang w:val="en-US" w:eastAsia="zh-CN"/>
        </w:rPr>
      </w:pPr>
      <w:bookmarkStart w:id="22" w:name="_Toc1363809011"/>
      <w:bookmarkStart w:id="23" w:name="_Toc12540"/>
      <w:bookmarkStart w:id="24" w:name="_Toc1565243470"/>
      <w:bookmarkStart w:id="25" w:name="_Toc1732369503"/>
      <w:bookmarkStart w:id="26" w:name="_Toc138115532"/>
      <w:r>
        <w:rPr>
          <w:rFonts w:hint="eastAsia" w:ascii="楷体_GB2312" w:hAnsi="楷体_GB2312" w:eastAsia="楷体_GB2312" w:cs="楷体_GB2312"/>
          <w:color w:val="auto"/>
          <w:sz w:val="32"/>
          <w:szCs w:val="32"/>
          <w:u w:val="none"/>
          <w:lang w:val="en-US" w:eastAsia="zh-CN"/>
        </w:rPr>
        <w:t>教育行政部门责任</w:t>
      </w:r>
      <w:bookmarkEnd w:id="22"/>
      <w:bookmarkEnd w:id="23"/>
      <w:bookmarkEnd w:id="24"/>
      <w:bookmarkEnd w:id="25"/>
      <w:bookmarkEnd w:id="26"/>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lang w:eastAsia="zh-CN"/>
        </w:rPr>
        <w:t>制定</w:t>
      </w:r>
      <w:r>
        <w:rPr>
          <w:rFonts w:hint="eastAsia" w:ascii="仿宋_GB2312" w:hAnsi="仿宋_GB2312" w:eastAsia="仿宋_GB2312" w:cs="仿宋_GB2312"/>
          <w:color w:val="auto"/>
          <w:sz w:val="32"/>
          <w:szCs w:val="32"/>
          <w:u w:val="none"/>
          <w:lang w:val="en-US" w:eastAsia="zh-CN"/>
        </w:rPr>
        <w:t>并</w:t>
      </w:r>
      <w:r>
        <w:rPr>
          <w:rFonts w:hint="eastAsia" w:ascii="仿宋_GB2312" w:hAnsi="仿宋_GB2312" w:eastAsia="仿宋_GB2312" w:cs="仿宋_GB2312"/>
          <w:color w:val="auto"/>
          <w:sz w:val="32"/>
          <w:szCs w:val="32"/>
          <w:u w:val="none"/>
          <w:lang w:eastAsia="zh-CN"/>
        </w:rPr>
        <w:t>完善招标采购、经营管理、考核评议、监督检查、应急处置等学校食品安全管理制度，健全</w:t>
      </w:r>
      <w:r>
        <w:rPr>
          <w:rFonts w:hint="eastAsia" w:ascii="仿宋_GB2312" w:hAnsi="仿宋_GB2312" w:cs="仿宋_GB2312"/>
          <w:color w:val="auto"/>
          <w:sz w:val="32"/>
          <w:szCs w:val="32"/>
          <w:u w:val="none"/>
          <w:lang w:eastAsia="zh-CN"/>
        </w:rPr>
        <w:t>完善</w:t>
      </w:r>
      <w:r>
        <w:rPr>
          <w:rFonts w:hint="eastAsia" w:ascii="仿宋_GB2312" w:hAnsi="仿宋_GB2312" w:eastAsia="仿宋_GB2312" w:cs="仿宋_GB2312"/>
          <w:color w:val="auto"/>
          <w:sz w:val="32"/>
          <w:szCs w:val="32"/>
          <w:u w:val="none"/>
          <w:lang w:eastAsia="zh-CN"/>
        </w:rPr>
        <w:t>食品安全管理体制机制。</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val="0"/>
          <w:bCs w:val="0"/>
          <w:sz w:val="32"/>
          <w:szCs w:val="32"/>
        </w:rPr>
        <w:t>将食品安全</w:t>
      </w:r>
      <w:r>
        <w:rPr>
          <w:rFonts w:hint="eastAsia" w:ascii="Times New Roman" w:hAnsi="Times New Roman" w:cs="Times New Roman"/>
          <w:b w:val="0"/>
          <w:bCs w:val="0"/>
          <w:sz w:val="32"/>
          <w:szCs w:val="32"/>
          <w:lang w:eastAsia="zh-CN"/>
        </w:rPr>
        <w:t>相关</w:t>
      </w:r>
      <w:r>
        <w:rPr>
          <w:rFonts w:hint="default" w:ascii="Times New Roman" w:hAnsi="Times New Roman" w:eastAsia="仿宋_GB2312" w:cs="Times New Roman"/>
          <w:b w:val="0"/>
          <w:bCs w:val="0"/>
          <w:sz w:val="32"/>
          <w:szCs w:val="32"/>
        </w:rPr>
        <w:t>指标</w:t>
      </w:r>
      <w:r>
        <w:rPr>
          <w:rFonts w:hint="eastAsia" w:ascii="Times New Roman" w:hAnsi="Times New Roman" w:cs="Times New Roman"/>
          <w:b w:val="0"/>
          <w:bCs w:val="0"/>
          <w:sz w:val="32"/>
          <w:szCs w:val="32"/>
          <w:lang w:eastAsia="zh-CN"/>
        </w:rPr>
        <w:t>纳入</w:t>
      </w:r>
      <w:r>
        <w:rPr>
          <w:rFonts w:hint="default" w:ascii="Times New Roman" w:hAnsi="Times New Roman" w:eastAsia="仿宋_GB2312" w:cs="Times New Roman"/>
          <w:b w:val="0"/>
          <w:bCs w:val="0"/>
          <w:sz w:val="32"/>
          <w:szCs w:val="32"/>
        </w:rPr>
        <w:t>责任督学</w:t>
      </w:r>
      <w:r>
        <w:rPr>
          <w:rFonts w:hint="eastAsia" w:ascii="Times New Roman" w:hAnsi="Times New Roman" w:cs="Times New Roman"/>
          <w:b w:val="0"/>
          <w:bCs w:val="0"/>
          <w:sz w:val="32"/>
          <w:szCs w:val="32"/>
          <w:lang w:eastAsia="zh-CN"/>
        </w:rPr>
        <w:t>每月</w:t>
      </w:r>
      <w:r>
        <w:rPr>
          <w:rFonts w:hint="default" w:ascii="Times New Roman" w:hAnsi="Times New Roman" w:eastAsia="仿宋_GB2312" w:cs="Times New Roman"/>
          <w:b w:val="0"/>
          <w:bCs w:val="0"/>
          <w:sz w:val="32"/>
          <w:szCs w:val="32"/>
        </w:rPr>
        <w:t>进学校摸排的重点内容</w:t>
      </w:r>
      <w:r>
        <w:rPr>
          <w:rFonts w:hint="eastAsia" w:ascii="Times New Roman" w:hAnsi="Times New Roman" w:cs="Times New Roman"/>
          <w:b w:val="0"/>
          <w:bCs w:val="0"/>
          <w:sz w:val="32"/>
          <w:szCs w:val="32"/>
          <w:lang w:eastAsia="zh-CN"/>
        </w:rPr>
        <w:t>，</w:t>
      </w:r>
      <w:r>
        <w:rPr>
          <w:rFonts w:hint="eastAsia" w:eastAsia="仿宋_GB2312" w:cs="Times New Roman"/>
          <w:b w:val="0"/>
          <w:bCs w:val="0"/>
          <w:sz w:val="32"/>
          <w:szCs w:val="32"/>
          <w:lang w:eastAsia="zh-CN"/>
        </w:rPr>
        <w:t>强化日常监督</w:t>
      </w:r>
      <w:r>
        <w:rPr>
          <w:rFonts w:hint="eastAsia" w:cs="Times New Roman"/>
          <w:b w:val="0"/>
          <w:bCs w:val="0"/>
          <w:sz w:val="32"/>
          <w:szCs w:val="32"/>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eastAsia="zh-CN"/>
        </w:rPr>
        <w:t>加大</w:t>
      </w:r>
      <w:r>
        <w:rPr>
          <w:rFonts w:hint="eastAsia" w:ascii="仿宋_GB2312" w:hAnsi="仿宋_GB2312" w:eastAsia="仿宋_GB2312" w:cs="仿宋_GB2312"/>
          <w:color w:val="auto"/>
          <w:sz w:val="32"/>
          <w:szCs w:val="32"/>
          <w:u w:val="none"/>
          <w:lang w:val="en-US" w:eastAsia="zh-CN"/>
        </w:rPr>
        <w:t>对</w:t>
      </w:r>
      <w:r>
        <w:rPr>
          <w:rFonts w:hint="eastAsia" w:ascii="仿宋_GB2312" w:hAnsi="仿宋_GB2312" w:eastAsia="仿宋_GB2312" w:cs="仿宋_GB2312"/>
          <w:color w:val="auto"/>
          <w:sz w:val="32"/>
          <w:szCs w:val="32"/>
          <w:u w:val="none"/>
          <w:lang w:eastAsia="zh-CN"/>
        </w:rPr>
        <w:t>学校食堂建设改造</w:t>
      </w:r>
      <w:r>
        <w:rPr>
          <w:rFonts w:hint="eastAsia" w:ascii="仿宋_GB2312" w:hAnsi="仿宋_GB2312" w:eastAsia="仿宋_GB2312" w:cs="仿宋_GB2312"/>
          <w:color w:val="auto"/>
          <w:sz w:val="32"/>
          <w:szCs w:val="32"/>
          <w:u w:val="none"/>
          <w:lang w:val="en-US" w:eastAsia="zh-CN"/>
        </w:rPr>
        <w:t>的</w:t>
      </w:r>
      <w:r>
        <w:rPr>
          <w:rFonts w:hint="eastAsia" w:ascii="仿宋_GB2312" w:hAnsi="仿宋_GB2312" w:eastAsia="仿宋_GB2312" w:cs="仿宋_GB2312"/>
          <w:color w:val="auto"/>
          <w:sz w:val="32"/>
          <w:szCs w:val="32"/>
          <w:u w:val="none"/>
          <w:lang w:eastAsia="zh-CN"/>
        </w:rPr>
        <w:t>投入，持续改善供餐条件，积极推进“互联网</w:t>
      </w:r>
      <w:r>
        <w:rPr>
          <w:rFonts w:hint="eastAsia" w:ascii="仿宋_GB2312" w:hAnsi="仿宋_GB2312" w:eastAsia="仿宋_GB2312" w:cs="仿宋_GB2312"/>
          <w:color w:val="auto"/>
          <w:sz w:val="32"/>
          <w:szCs w:val="32"/>
          <w:u w:val="none"/>
          <w:lang w:val="en-US" w:eastAsia="zh-CN"/>
        </w:rPr>
        <w:t>+明厨亮灶”建设，与市场监管部门信息共享</w:t>
      </w:r>
      <w:r>
        <w:rPr>
          <w:rFonts w:hint="eastAsia" w:ascii="仿宋_GB2312" w:hAnsi="仿宋_GB2312" w:cs="仿宋_GB2312"/>
          <w:color w:val="auto"/>
          <w:sz w:val="32"/>
          <w:szCs w:val="32"/>
          <w:u w:val="none"/>
          <w:lang w:val="en-US" w:eastAsia="zh-CN"/>
        </w:rPr>
        <w:t>，</w:t>
      </w:r>
      <w:r>
        <w:rPr>
          <w:rFonts w:hint="eastAsia" w:ascii="仿宋_GB2312" w:hAnsi="仿宋_GB2312" w:eastAsia="仿宋_GB2312" w:cs="仿宋_GB2312"/>
          <w:color w:val="auto"/>
          <w:sz w:val="32"/>
          <w:szCs w:val="32"/>
          <w:u w:val="none"/>
          <w:lang w:val="en-US" w:eastAsia="zh-CN"/>
        </w:rPr>
        <w:t>提升食品安全管理的透明度。</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eastAsia="zh-CN"/>
        </w:rPr>
        <w:t>组织开展食品安全教育培训，加强学校食品安全管理人员队伍建设，</w:t>
      </w:r>
      <w:r>
        <w:rPr>
          <w:rFonts w:hint="eastAsia" w:ascii="仿宋_GB2312" w:hAnsi="仿宋_GB2312" w:eastAsia="仿宋_GB2312" w:cs="仿宋_GB2312"/>
          <w:color w:val="auto"/>
          <w:sz w:val="32"/>
          <w:szCs w:val="32"/>
          <w:u w:val="none"/>
          <w:lang w:val="en-US" w:eastAsia="zh-CN"/>
        </w:rPr>
        <w:t>不断</w:t>
      </w:r>
      <w:r>
        <w:rPr>
          <w:rFonts w:hint="eastAsia" w:ascii="仿宋_GB2312" w:hAnsi="仿宋_GB2312" w:eastAsia="仿宋_GB2312" w:cs="仿宋_GB2312"/>
          <w:color w:val="auto"/>
          <w:sz w:val="32"/>
          <w:szCs w:val="32"/>
          <w:u w:val="none"/>
          <w:lang w:eastAsia="zh-CN"/>
        </w:rPr>
        <w:t>提升学校食品安全保障服务水平。</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eastAsia="zh-CN"/>
        </w:rPr>
        <w:t>督促</w:t>
      </w:r>
      <w:r>
        <w:rPr>
          <w:rFonts w:hint="eastAsia" w:ascii="仿宋_GB2312" w:hAnsi="仿宋_GB2312" w:eastAsia="仿宋_GB2312" w:cs="仿宋_GB2312"/>
          <w:color w:val="auto"/>
          <w:sz w:val="32"/>
          <w:szCs w:val="32"/>
          <w:u w:val="none"/>
          <w:lang w:val="en-US" w:eastAsia="zh-CN"/>
        </w:rPr>
        <w:t>和</w:t>
      </w:r>
      <w:r>
        <w:rPr>
          <w:rFonts w:hint="eastAsia" w:ascii="仿宋_GB2312" w:hAnsi="仿宋_GB2312" w:eastAsia="仿宋_GB2312" w:cs="仿宋_GB2312"/>
          <w:color w:val="auto"/>
          <w:sz w:val="32"/>
          <w:szCs w:val="32"/>
          <w:u w:val="none"/>
          <w:lang w:eastAsia="zh-CN"/>
        </w:rPr>
        <w:t>指导</w:t>
      </w:r>
      <w:r>
        <w:rPr>
          <w:rFonts w:hint="eastAsia" w:ascii="仿宋_GB2312" w:hAnsi="仿宋_GB2312" w:cs="仿宋_GB2312"/>
          <w:color w:val="auto"/>
          <w:sz w:val="32"/>
          <w:szCs w:val="32"/>
          <w:u w:val="none"/>
          <w:lang w:eastAsia="zh-CN"/>
        </w:rPr>
        <w:t>中小学</w:t>
      </w:r>
      <w:r>
        <w:rPr>
          <w:rFonts w:hint="eastAsia" w:ascii="仿宋_GB2312" w:hAnsi="仿宋_GB2312" w:eastAsia="仿宋_GB2312" w:cs="仿宋_GB2312"/>
          <w:color w:val="auto"/>
          <w:sz w:val="32"/>
          <w:szCs w:val="32"/>
          <w:u w:val="none"/>
          <w:lang w:eastAsia="zh-CN"/>
        </w:rPr>
        <w:t>开展校园食品安全突发事件应急处置，适时组织开展食品安全突发事件应急演练。</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cs="仿宋_GB2312"/>
          <w:color w:val="auto"/>
          <w:sz w:val="32"/>
          <w:szCs w:val="32"/>
          <w:u w:val="none"/>
          <w:lang w:val="en-US" w:eastAsia="zh-CN"/>
        </w:rPr>
        <w:t>各级教育行政部门应加强与属地市场监管部门的协同配合，将工作中发现的学校食堂、承包（委托）经营单位、校外供餐单位、食材供应商等存在的经营管理、食材质量等方面的问题，及时通报市场监管部门，配合做好监督管理。</w:t>
      </w:r>
    </w:p>
    <w:p>
      <w:pPr>
        <w:keepNext w:val="0"/>
        <w:keepLines w:val="0"/>
        <w:pageBreakBefore w:val="0"/>
        <w:widowControl w:val="0"/>
        <w:numPr>
          <w:ilvl w:val="0"/>
          <w:numId w:val="1"/>
        </w:numPr>
        <w:kinsoku/>
        <w:wordWrap/>
        <w:overflowPunct/>
        <w:topLinePunct w:val="0"/>
        <w:autoSpaceDE/>
        <w:autoSpaceDN/>
        <w:bidi w:val="0"/>
        <w:adjustRightInd/>
        <w:spacing w:line="560" w:lineRule="exact"/>
        <w:ind w:firstLine="640"/>
        <w:jc w:val="both"/>
        <w:textAlignment w:val="auto"/>
        <w:outlineLvl w:val="1"/>
        <w:rPr>
          <w:rFonts w:hint="default" w:ascii="Times New Roman" w:hAnsi="Times New Roman" w:eastAsia="方正黑体_GBK" w:cs="Times New Roman"/>
          <w:color w:val="auto"/>
          <w:sz w:val="32"/>
          <w:szCs w:val="32"/>
          <w:u w:val="none"/>
          <w:lang w:eastAsia="zh-CN"/>
        </w:rPr>
      </w:pPr>
      <w:bookmarkStart w:id="27" w:name="_Toc1259572115"/>
      <w:bookmarkStart w:id="28" w:name="_Toc709468073"/>
      <w:bookmarkStart w:id="29" w:name="_Toc27475"/>
      <w:bookmarkStart w:id="30" w:name="_Toc1422592398"/>
      <w:bookmarkStart w:id="31" w:name="_Toc1437363443"/>
      <w:bookmarkStart w:id="32" w:name="_Toc438175246"/>
      <w:r>
        <w:rPr>
          <w:rFonts w:hint="default" w:ascii="Times New Roman" w:hAnsi="Times New Roman" w:eastAsia="方正黑体_GBK" w:cs="Times New Roman"/>
          <w:color w:val="auto"/>
          <w:sz w:val="32"/>
          <w:szCs w:val="32"/>
          <w:u w:val="none"/>
          <w:lang w:eastAsia="zh-CN"/>
        </w:rPr>
        <w:t>食堂场所流程布局</w:t>
      </w:r>
      <w:bookmarkEnd w:id="27"/>
      <w:bookmarkEnd w:id="28"/>
      <w:bookmarkEnd w:id="29"/>
      <w:bookmarkEnd w:id="30"/>
      <w:bookmarkEnd w:id="31"/>
      <w:bookmarkEnd w:id="32"/>
    </w:p>
    <w:p>
      <w:pPr>
        <w:keepNext w:val="0"/>
        <w:keepLines w:val="0"/>
        <w:pageBreakBefore w:val="0"/>
        <w:widowControl w:val="0"/>
        <w:numPr>
          <w:ilvl w:val="0"/>
          <w:numId w:val="5"/>
        </w:numPr>
        <w:kinsoku/>
        <w:wordWrap/>
        <w:overflowPunct/>
        <w:topLinePunct w:val="0"/>
        <w:autoSpaceDE/>
        <w:autoSpaceDN/>
        <w:bidi w:val="0"/>
        <w:adjustRightInd/>
        <w:spacing w:line="560" w:lineRule="exact"/>
        <w:ind w:firstLine="640" w:firstLineChars="200"/>
        <w:jc w:val="both"/>
        <w:textAlignment w:val="auto"/>
        <w:outlineLvl w:val="2"/>
        <w:rPr>
          <w:rFonts w:hint="default" w:ascii="Times New Roman" w:hAnsi="Times New Roman" w:eastAsia="楷体_GB2312" w:cs="Times New Roman"/>
          <w:color w:val="auto"/>
          <w:sz w:val="32"/>
          <w:szCs w:val="32"/>
          <w:u w:val="none"/>
          <w:lang w:eastAsia="zh-CN"/>
        </w:rPr>
      </w:pPr>
      <w:bookmarkStart w:id="33" w:name="_Toc549376687"/>
      <w:bookmarkStart w:id="34" w:name="_Toc13833"/>
      <w:bookmarkStart w:id="35" w:name="_Toc1148382015"/>
      <w:bookmarkStart w:id="36" w:name="_Toc2091834016"/>
      <w:bookmarkStart w:id="37" w:name="_Toc1735615947"/>
      <w:bookmarkStart w:id="38" w:name="_Toc191967227"/>
      <w:r>
        <w:rPr>
          <w:rFonts w:hint="default" w:ascii="Times New Roman" w:hAnsi="Times New Roman" w:eastAsia="楷体_GB2312" w:cs="Times New Roman"/>
          <w:color w:val="auto"/>
          <w:sz w:val="32"/>
          <w:szCs w:val="32"/>
          <w:u w:val="none"/>
          <w:lang w:eastAsia="zh-CN"/>
        </w:rPr>
        <w:t>食堂建筑</w:t>
      </w:r>
      <w:bookmarkEnd w:id="33"/>
      <w:bookmarkEnd w:id="34"/>
      <w:bookmarkEnd w:id="35"/>
      <w:bookmarkEnd w:id="36"/>
      <w:bookmarkEnd w:id="37"/>
      <w:bookmarkEnd w:id="38"/>
    </w:p>
    <w:p>
      <w:pPr>
        <w:keepNext w:val="0"/>
        <w:keepLines w:val="0"/>
        <w:pageBreakBefore w:val="0"/>
        <w:widowControl w:val="0"/>
        <w:numPr>
          <w:ilvl w:val="0"/>
          <w:numId w:val="6"/>
        </w:numPr>
        <w:kinsoku/>
        <w:wordWrap/>
        <w:overflowPunct/>
        <w:topLinePunct w:val="0"/>
        <w:autoSpaceDE/>
        <w:autoSpaceDN/>
        <w:bidi w:val="0"/>
        <w:adjustRightInd/>
        <w:spacing w:line="560" w:lineRule="exact"/>
        <w:ind w:firstLine="640"/>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由相对独立的食品处理区、辅助区和就餐区组成。</w:t>
      </w:r>
    </w:p>
    <w:p>
      <w:pPr>
        <w:keepNext w:val="0"/>
        <w:keepLines w:val="0"/>
        <w:pageBreakBefore w:val="0"/>
        <w:widowControl w:val="0"/>
        <w:numPr>
          <w:ilvl w:val="0"/>
          <w:numId w:val="6"/>
        </w:numPr>
        <w:kinsoku/>
        <w:wordWrap/>
        <w:overflowPunct/>
        <w:topLinePunct w:val="0"/>
        <w:autoSpaceDE/>
        <w:autoSpaceDN/>
        <w:bidi w:val="0"/>
        <w:adjustRightInd/>
        <w:spacing w:line="560" w:lineRule="exact"/>
        <w:ind w:firstLine="640"/>
        <w:jc w:val="both"/>
        <w:textAlignment w:val="auto"/>
        <w:rPr>
          <w:rFonts w:hint="default" w:ascii="Times New Roman" w:hAnsi="Times New Roman" w:cs="Times New Roman"/>
          <w:color w:val="auto"/>
          <w:sz w:val="32"/>
          <w:szCs w:val="32"/>
          <w:u w:val="none"/>
          <w:lang w:val="en-US" w:eastAsia="zh-CN"/>
        </w:rPr>
      </w:pPr>
      <w:r>
        <w:rPr>
          <w:rFonts w:hint="eastAsia" w:ascii="Times New Roman" w:hAnsi="Times New Roman" w:cs="Times New Roman"/>
          <w:color w:val="auto"/>
          <w:sz w:val="32"/>
          <w:szCs w:val="32"/>
          <w:u w:val="none"/>
          <w:lang w:val="en-US" w:eastAsia="zh-CN"/>
        </w:rPr>
        <w:t>应</w:t>
      </w:r>
      <w:r>
        <w:rPr>
          <w:rFonts w:hint="default" w:ascii="Times New Roman" w:hAnsi="Times New Roman" w:cs="Times New Roman"/>
          <w:color w:val="auto"/>
          <w:sz w:val="32"/>
          <w:szCs w:val="32"/>
          <w:u w:val="none"/>
          <w:lang w:val="en-US" w:eastAsia="zh-CN"/>
        </w:rPr>
        <w:t>距离粪坑、旱厕、污水池、暴露垃圾场（站）等污染源25m以上，并位于可能产生粉尘、有害气体、放射性物质和其他扩散性污染源（含实验场所）的影响范围外。</w:t>
      </w:r>
    </w:p>
    <w:p>
      <w:pPr>
        <w:keepNext w:val="0"/>
        <w:keepLines w:val="0"/>
        <w:pageBreakBefore w:val="0"/>
        <w:widowControl w:val="0"/>
        <w:numPr>
          <w:ilvl w:val="0"/>
          <w:numId w:val="5"/>
        </w:numPr>
        <w:kinsoku/>
        <w:wordWrap/>
        <w:overflowPunct/>
        <w:topLinePunct w:val="0"/>
        <w:autoSpaceDE/>
        <w:autoSpaceDN/>
        <w:bidi w:val="0"/>
        <w:adjustRightInd/>
        <w:spacing w:line="560" w:lineRule="exact"/>
        <w:ind w:firstLine="640" w:firstLineChars="200"/>
        <w:jc w:val="both"/>
        <w:textAlignment w:val="auto"/>
        <w:outlineLvl w:val="2"/>
        <w:rPr>
          <w:rFonts w:hint="default" w:ascii="Times New Roman" w:hAnsi="Times New Roman" w:eastAsia="楷体_GB2312" w:cs="Times New Roman"/>
          <w:color w:val="auto"/>
          <w:sz w:val="32"/>
          <w:szCs w:val="32"/>
          <w:u w:val="none"/>
          <w:lang w:eastAsia="zh-CN"/>
        </w:rPr>
      </w:pPr>
      <w:bookmarkStart w:id="39" w:name="_Toc17322"/>
      <w:bookmarkStart w:id="40" w:name="_Toc1837735785"/>
      <w:bookmarkStart w:id="41" w:name="_Toc685147449"/>
      <w:bookmarkStart w:id="42" w:name="_Toc2087938512"/>
      <w:bookmarkStart w:id="43" w:name="_Toc965909971"/>
      <w:bookmarkStart w:id="44" w:name="_Toc2079282239"/>
      <w:r>
        <w:rPr>
          <w:rFonts w:hint="default" w:ascii="Times New Roman" w:hAnsi="Times New Roman" w:eastAsia="楷体_GB2312" w:cs="Times New Roman"/>
          <w:color w:val="auto"/>
          <w:sz w:val="32"/>
          <w:szCs w:val="32"/>
          <w:u w:val="none"/>
          <w:lang w:eastAsia="zh-CN"/>
        </w:rPr>
        <w:t>食品处理区</w:t>
      </w:r>
      <w:bookmarkEnd w:id="39"/>
      <w:bookmarkEnd w:id="40"/>
      <w:bookmarkEnd w:id="41"/>
      <w:bookmarkEnd w:id="42"/>
      <w:bookmarkEnd w:id="43"/>
      <w:bookmarkEnd w:id="44"/>
    </w:p>
    <w:p>
      <w:pPr>
        <w:keepNext w:val="0"/>
        <w:keepLines w:val="0"/>
        <w:pageBreakBefore w:val="0"/>
        <w:widowControl w:val="0"/>
        <w:numPr>
          <w:ilvl w:val="0"/>
          <w:numId w:val="7"/>
        </w:numPr>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应设置专用的备餐间或备餐操作区。</w:t>
      </w:r>
    </w:p>
    <w:p>
      <w:pPr>
        <w:keepNext w:val="0"/>
        <w:keepLines w:val="0"/>
        <w:pageBreakBefore w:val="0"/>
        <w:widowControl w:val="0"/>
        <w:numPr>
          <w:ilvl w:val="0"/>
          <w:numId w:val="7"/>
        </w:numPr>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应按照原料进入、原料加工制作、半成品加工制作、成品供应的流程合理布局，并形成生进熟出的单向流程。</w:t>
      </w:r>
    </w:p>
    <w:p>
      <w:pPr>
        <w:keepNext w:val="0"/>
        <w:keepLines w:val="0"/>
        <w:pageBreakBefore w:val="0"/>
        <w:widowControl w:val="0"/>
        <w:numPr>
          <w:ilvl w:val="0"/>
          <w:numId w:val="7"/>
        </w:numPr>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应分开设置原料通道及入口、成品通道及出口、使用后餐饮具的回收通道及入口。</w:t>
      </w:r>
    </w:p>
    <w:p>
      <w:pPr>
        <w:keepNext w:val="0"/>
        <w:keepLines w:val="0"/>
        <w:pageBreakBefore w:val="0"/>
        <w:widowControl w:val="0"/>
        <w:numPr>
          <w:ilvl w:val="0"/>
          <w:numId w:val="7"/>
        </w:numPr>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各专间、专用操作区应有明显的标识，标明其用途。</w:t>
      </w:r>
    </w:p>
    <w:p>
      <w:pPr>
        <w:keepNext w:val="0"/>
        <w:keepLines w:val="0"/>
        <w:pageBreakBefore w:val="0"/>
        <w:widowControl w:val="0"/>
        <w:numPr>
          <w:ilvl w:val="0"/>
          <w:numId w:val="5"/>
        </w:numPr>
        <w:kinsoku/>
        <w:wordWrap/>
        <w:overflowPunct/>
        <w:topLinePunct w:val="0"/>
        <w:autoSpaceDE/>
        <w:autoSpaceDN/>
        <w:bidi w:val="0"/>
        <w:adjustRightInd/>
        <w:spacing w:line="560" w:lineRule="exact"/>
        <w:ind w:firstLine="640" w:firstLineChars="200"/>
        <w:jc w:val="both"/>
        <w:textAlignment w:val="auto"/>
        <w:outlineLvl w:val="2"/>
        <w:rPr>
          <w:rFonts w:hint="default" w:ascii="Times New Roman" w:hAnsi="Times New Roman" w:eastAsia="楷体_GB2312" w:cs="Times New Roman"/>
          <w:color w:val="auto"/>
          <w:sz w:val="32"/>
          <w:szCs w:val="32"/>
          <w:u w:val="none"/>
          <w:lang w:eastAsia="zh-CN"/>
        </w:rPr>
      </w:pPr>
      <w:bookmarkStart w:id="45" w:name="_Toc1282452740"/>
      <w:bookmarkStart w:id="46" w:name="_Toc770213772"/>
      <w:bookmarkStart w:id="47" w:name="_Toc189050945"/>
      <w:bookmarkStart w:id="48" w:name="_Toc176"/>
      <w:bookmarkStart w:id="49" w:name="_Toc1246472648"/>
      <w:bookmarkStart w:id="50" w:name="_Toc1323663808"/>
      <w:r>
        <w:rPr>
          <w:rFonts w:hint="default" w:ascii="Times New Roman" w:hAnsi="Times New Roman" w:eastAsia="楷体_GB2312" w:cs="Times New Roman"/>
          <w:color w:val="auto"/>
          <w:sz w:val="32"/>
          <w:szCs w:val="32"/>
          <w:u w:val="none"/>
          <w:lang w:eastAsia="zh-CN"/>
        </w:rPr>
        <w:t>辅助区</w:t>
      </w:r>
      <w:bookmarkEnd w:id="45"/>
      <w:bookmarkEnd w:id="46"/>
      <w:bookmarkEnd w:id="47"/>
      <w:bookmarkEnd w:id="48"/>
      <w:bookmarkEnd w:id="49"/>
      <w:bookmarkEnd w:id="50"/>
    </w:p>
    <w:p>
      <w:pPr>
        <w:keepNext w:val="0"/>
        <w:keepLines w:val="0"/>
        <w:pageBreakBefore w:val="0"/>
        <w:widowControl w:val="0"/>
        <w:numPr>
          <w:ilvl w:val="0"/>
          <w:numId w:val="8"/>
        </w:numPr>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卫生间不应设置在食品处理区内</w:t>
      </w:r>
      <w:r>
        <w:rPr>
          <w:rFonts w:hint="eastAsia" w:ascii="Times New Roman" w:hAnsi="Times New Roman" w:cs="Times New Roman"/>
          <w:color w:val="auto"/>
          <w:sz w:val="32"/>
          <w:szCs w:val="32"/>
          <w:u w:val="none"/>
          <w:lang w:val="en-US" w:eastAsia="zh-CN"/>
        </w:rPr>
        <w:t>，</w:t>
      </w:r>
      <w:r>
        <w:rPr>
          <w:rFonts w:hint="default" w:ascii="Times New Roman" w:hAnsi="Times New Roman" w:cs="Times New Roman"/>
          <w:color w:val="auto"/>
          <w:sz w:val="32"/>
          <w:szCs w:val="32"/>
          <w:u w:val="none"/>
          <w:lang w:val="en-US" w:eastAsia="zh-CN"/>
        </w:rPr>
        <w:t>出入口不应与食品处理区直接连通，</w:t>
      </w:r>
      <w:r>
        <w:rPr>
          <w:rFonts w:hint="eastAsia" w:ascii="Times New Roman" w:hAnsi="Times New Roman" w:cs="Times New Roman"/>
          <w:color w:val="auto"/>
          <w:sz w:val="32"/>
          <w:szCs w:val="32"/>
          <w:u w:val="none"/>
          <w:lang w:val="en-US" w:eastAsia="zh-CN"/>
        </w:rPr>
        <w:t>避免与</w:t>
      </w:r>
      <w:r>
        <w:rPr>
          <w:rFonts w:hint="default" w:ascii="Times New Roman" w:hAnsi="Times New Roman" w:cs="Times New Roman"/>
          <w:color w:val="auto"/>
          <w:sz w:val="32"/>
          <w:szCs w:val="32"/>
          <w:u w:val="none"/>
          <w:lang w:val="en-US" w:eastAsia="zh-CN"/>
        </w:rPr>
        <w:t>就餐区直对</w:t>
      </w:r>
      <w:r>
        <w:rPr>
          <w:rFonts w:hint="eastAsia" w:ascii="Times New Roman" w:hAnsi="Times New Roman" w:cs="Times New Roman"/>
          <w:color w:val="auto"/>
          <w:sz w:val="32"/>
          <w:szCs w:val="32"/>
          <w:u w:val="none"/>
          <w:lang w:val="en-US" w:eastAsia="zh-CN"/>
        </w:rPr>
        <w:t>，卫生间与外界直接相通的门应能自动关闭。</w:t>
      </w:r>
    </w:p>
    <w:p>
      <w:pPr>
        <w:keepNext w:val="0"/>
        <w:keepLines w:val="0"/>
        <w:pageBreakBefore w:val="0"/>
        <w:widowControl w:val="0"/>
        <w:numPr>
          <w:ilvl w:val="0"/>
          <w:numId w:val="8"/>
        </w:numPr>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更衣间应与食品处理区在同一建筑物内，处于食品处理区入口处，为独立隔间，男女分设。</w:t>
      </w:r>
    </w:p>
    <w:p>
      <w:pPr>
        <w:keepNext w:val="0"/>
        <w:keepLines w:val="0"/>
        <w:pageBreakBefore w:val="0"/>
        <w:widowControl w:val="0"/>
        <w:numPr>
          <w:ilvl w:val="0"/>
          <w:numId w:val="1"/>
        </w:numPr>
        <w:kinsoku/>
        <w:wordWrap/>
        <w:overflowPunct/>
        <w:topLinePunct w:val="0"/>
        <w:autoSpaceDE/>
        <w:autoSpaceDN/>
        <w:bidi w:val="0"/>
        <w:adjustRightInd/>
        <w:spacing w:line="560" w:lineRule="exact"/>
        <w:ind w:firstLine="640"/>
        <w:jc w:val="both"/>
        <w:textAlignment w:val="auto"/>
        <w:outlineLvl w:val="1"/>
        <w:rPr>
          <w:rFonts w:hint="default" w:ascii="Times New Roman" w:hAnsi="Times New Roman" w:eastAsia="方正黑体_GBK" w:cs="Times New Roman"/>
          <w:color w:val="auto"/>
          <w:sz w:val="32"/>
          <w:szCs w:val="32"/>
          <w:u w:val="none"/>
          <w:lang w:eastAsia="zh-CN"/>
        </w:rPr>
      </w:pPr>
      <w:bookmarkStart w:id="51" w:name="_Toc1593145596"/>
      <w:bookmarkStart w:id="52" w:name="_Toc500873282"/>
      <w:bookmarkStart w:id="53" w:name="_Toc1116586490"/>
      <w:bookmarkStart w:id="54" w:name="_Toc459938462"/>
      <w:bookmarkStart w:id="55" w:name="_Toc19025"/>
      <w:bookmarkStart w:id="56" w:name="_Toc1653293608"/>
      <w:r>
        <w:rPr>
          <w:rFonts w:hint="default" w:ascii="Times New Roman" w:hAnsi="Times New Roman" w:eastAsia="方正黑体_GBK" w:cs="Times New Roman"/>
          <w:color w:val="auto"/>
          <w:sz w:val="32"/>
          <w:szCs w:val="32"/>
          <w:u w:val="none"/>
          <w:lang w:eastAsia="zh-CN"/>
        </w:rPr>
        <w:t>食堂设施设备配备</w:t>
      </w:r>
      <w:bookmarkEnd w:id="51"/>
      <w:bookmarkEnd w:id="52"/>
      <w:bookmarkEnd w:id="53"/>
      <w:bookmarkEnd w:id="54"/>
      <w:bookmarkEnd w:id="55"/>
      <w:bookmarkEnd w:id="56"/>
    </w:p>
    <w:p>
      <w:pPr>
        <w:pStyle w:val="12"/>
        <w:keepNext w:val="0"/>
        <w:keepLines w:val="0"/>
        <w:pageBreakBefore w:val="0"/>
        <w:widowControl w:val="0"/>
        <w:numPr>
          <w:ilvl w:val="0"/>
          <w:numId w:val="9"/>
        </w:numPr>
        <w:kinsoku/>
        <w:wordWrap/>
        <w:overflowPunct/>
        <w:topLinePunct w:val="0"/>
        <w:autoSpaceDE/>
        <w:autoSpaceDN/>
        <w:bidi w:val="0"/>
        <w:adjustRightInd/>
        <w:spacing w:line="560" w:lineRule="exact"/>
        <w:ind w:firstLine="640" w:firstLineChars="200"/>
        <w:jc w:val="both"/>
        <w:textAlignment w:val="auto"/>
        <w:outlineLvl w:val="2"/>
        <w:rPr>
          <w:rFonts w:hint="default" w:ascii="Times New Roman" w:hAnsi="Times New Roman" w:eastAsia="楷体_GB2312" w:cs="Times New Roman"/>
          <w:color w:val="auto"/>
          <w:sz w:val="32"/>
          <w:szCs w:val="32"/>
          <w:u w:val="none"/>
          <w:lang w:eastAsia="zh-CN"/>
        </w:rPr>
      </w:pPr>
      <w:bookmarkStart w:id="57" w:name="_Toc639878759"/>
      <w:bookmarkStart w:id="58" w:name="_Toc5126"/>
      <w:bookmarkStart w:id="59" w:name="_Toc1124075672"/>
      <w:bookmarkStart w:id="60" w:name="_Toc1579634511"/>
      <w:bookmarkStart w:id="61" w:name="_Toc951942109"/>
      <w:bookmarkStart w:id="62" w:name="_Toc1168694785"/>
      <w:r>
        <w:rPr>
          <w:rFonts w:hint="default" w:ascii="Times New Roman" w:hAnsi="Times New Roman" w:eastAsia="楷体_GB2312" w:cs="Times New Roman"/>
          <w:color w:val="auto"/>
          <w:sz w:val="32"/>
          <w:szCs w:val="32"/>
          <w:u w:val="none"/>
          <w:lang w:eastAsia="zh-CN"/>
        </w:rPr>
        <w:t>原料贮存设施</w:t>
      </w:r>
      <w:bookmarkEnd w:id="57"/>
      <w:bookmarkEnd w:id="58"/>
      <w:bookmarkEnd w:id="59"/>
      <w:bookmarkEnd w:id="60"/>
      <w:bookmarkEnd w:id="61"/>
      <w:bookmarkEnd w:id="62"/>
    </w:p>
    <w:p>
      <w:pPr>
        <w:keepNext w:val="0"/>
        <w:keepLines w:val="0"/>
        <w:pageBreakBefore w:val="0"/>
        <w:widowControl w:val="0"/>
        <w:numPr>
          <w:ilvl w:val="0"/>
          <w:numId w:val="10"/>
        </w:numPr>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cs="Times New Roman"/>
          <w:color w:val="auto"/>
          <w:sz w:val="32"/>
          <w:szCs w:val="32"/>
          <w:u w:val="none"/>
          <w:lang w:eastAsia="zh-CN"/>
        </w:rPr>
      </w:pPr>
      <w:r>
        <w:rPr>
          <w:rFonts w:hint="default" w:ascii="Times New Roman" w:hAnsi="Times New Roman" w:cs="Times New Roman"/>
          <w:color w:val="auto"/>
          <w:sz w:val="32"/>
          <w:szCs w:val="32"/>
          <w:u w:val="none"/>
          <w:lang w:val="en-US" w:eastAsia="zh-CN"/>
        </w:rPr>
        <w:t>应根据原料、半成品、成品的贮存要求，设置相应的食品库房或贮存场所以及贮存设施，</w:t>
      </w:r>
      <w:r>
        <w:rPr>
          <w:rFonts w:hint="eastAsia" w:ascii="Times New Roman" w:hAnsi="Times New Roman" w:cs="Times New Roman"/>
          <w:color w:val="auto"/>
          <w:sz w:val="32"/>
          <w:szCs w:val="32"/>
          <w:u w:val="none"/>
          <w:lang w:val="en-US" w:eastAsia="zh-CN"/>
        </w:rPr>
        <w:t>配备</w:t>
      </w:r>
      <w:r>
        <w:rPr>
          <w:rFonts w:hint="default" w:ascii="Times New Roman" w:hAnsi="Times New Roman" w:cs="Times New Roman"/>
          <w:color w:val="auto"/>
          <w:sz w:val="32"/>
          <w:szCs w:val="32"/>
          <w:u w:val="none"/>
          <w:lang w:val="en-US" w:eastAsia="zh-CN"/>
        </w:rPr>
        <w:t>冷冻、冷藏设施。</w:t>
      </w:r>
    </w:p>
    <w:p>
      <w:pPr>
        <w:keepNext w:val="0"/>
        <w:keepLines w:val="0"/>
        <w:pageBreakBefore w:val="0"/>
        <w:widowControl w:val="0"/>
        <w:numPr>
          <w:ilvl w:val="0"/>
          <w:numId w:val="10"/>
        </w:numPr>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eastAsia="zh-CN"/>
        </w:rPr>
        <w:t>库房应设有通风、防潮及防止有害生物侵入的设施。</w:t>
      </w:r>
    </w:p>
    <w:p>
      <w:pPr>
        <w:keepNext w:val="0"/>
        <w:keepLines w:val="0"/>
        <w:pageBreakBefore w:val="0"/>
        <w:widowControl w:val="0"/>
        <w:numPr>
          <w:ilvl w:val="0"/>
          <w:numId w:val="10"/>
        </w:numPr>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rPr>
        <w:t>库房内应设置足够数量的存放架，其结构及位置能使贮存的食品和物品离墙离地</w:t>
      </w:r>
      <w:r>
        <w:rPr>
          <w:rFonts w:hint="default" w:ascii="Times New Roman" w:hAnsi="Times New Roman" w:cs="Times New Roman"/>
          <w:color w:val="auto"/>
          <w:sz w:val="32"/>
          <w:szCs w:val="32"/>
          <w:u w:val="none"/>
          <w:lang w:eastAsia="zh-CN"/>
        </w:rPr>
        <w:t>。</w:t>
      </w:r>
    </w:p>
    <w:p>
      <w:pPr>
        <w:keepNext w:val="0"/>
        <w:keepLines w:val="0"/>
        <w:pageBreakBefore w:val="0"/>
        <w:widowControl w:val="0"/>
        <w:numPr>
          <w:ilvl w:val="0"/>
          <w:numId w:val="10"/>
        </w:numPr>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冷藏（冻）设施正常运转，</w:t>
      </w:r>
      <w:r>
        <w:rPr>
          <w:rFonts w:hint="eastAsia" w:ascii="Times New Roman" w:hAnsi="Times New Roman" w:cs="Times New Roman"/>
          <w:color w:val="auto"/>
          <w:sz w:val="32"/>
          <w:szCs w:val="32"/>
          <w:u w:val="none"/>
          <w:lang w:val="en-US" w:eastAsia="zh-CN"/>
        </w:rPr>
        <w:t>配备温度显示装置，确保贮存条件</w:t>
      </w:r>
      <w:r>
        <w:rPr>
          <w:rFonts w:hint="default" w:ascii="Times New Roman" w:hAnsi="Times New Roman" w:cs="Times New Roman"/>
          <w:color w:val="auto"/>
          <w:sz w:val="32"/>
          <w:szCs w:val="32"/>
          <w:u w:val="none"/>
          <w:lang w:val="en-US" w:eastAsia="zh-CN"/>
        </w:rPr>
        <w:t>。</w:t>
      </w:r>
    </w:p>
    <w:p>
      <w:pPr>
        <w:pStyle w:val="12"/>
        <w:keepNext w:val="0"/>
        <w:keepLines w:val="0"/>
        <w:pageBreakBefore w:val="0"/>
        <w:widowControl w:val="0"/>
        <w:numPr>
          <w:ilvl w:val="0"/>
          <w:numId w:val="9"/>
        </w:numPr>
        <w:kinsoku/>
        <w:wordWrap/>
        <w:overflowPunct/>
        <w:topLinePunct w:val="0"/>
        <w:autoSpaceDE/>
        <w:autoSpaceDN/>
        <w:bidi w:val="0"/>
        <w:adjustRightInd/>
        <w:spacing w:line="560" w:lineRule="exact"/>
        <w:ind w:firstLine="640" w:firstLineChars="200"/>
        <w:jc w:val="both"/>
        <w:textAlignment w:val="auto"/>
        <w:outlineLvl w:val="2"/>
        <w:rPr>
          <w:rFonts w:hint="default" w:ascii="Times New Roman" w:hAnsi="Times New Roman" w:eastAsia="楷体_GB2312" w:cs="Times New Roman"/>
          <w:color w:val="auto"/>
          <w:sz w:val="32"/>
          <w:szCs w:val="32"/>
          <w:u w:val="none"/>
          <w:lang w:eastAsia="zh-CN"/>
        </w:rPr>
      </w:pPr>
      <w:bookmarkStart w:id="63" w:name="_Toc2315"/>
      <w:bookmarkStart w:id="64" w:name="_Toc108418236"/>
      <w:bookmarkStart w:id="65" w:name="_Toc489841622"/>
      <w:bookmarkStart w:id="66" w:name="_Toc862847669"/>
      <w:bookmarkStart w:id="67" w:name="_Toc132055367"/>
      <w:bookmarkStart w:id="68" w:name="_Toc1872598980"/>
      <w:r>
        <w:rPr>
          <w:rFonts w:hint="default" w:ascii="Times New Roman" w:hAnsi="Times New Roman" w:eastAsia="楷体_GB2312" w:cs="Times New Roman"/>
          <w:color w:val="auto"/>
          <w:sz w:val="32"/>
          <w:szCs w:val="32"/>
          <w:u w:val="none"/>
          <w:lang w:eastAsia="zh-CN"/>
        </w:rPr>
        <w:t>清洗消毒和洗手设施</w:t>
      </w:r>
      <w:bookmarkEnd w:id="63"/>
      <w:bookmarkEnd w:id="64"/>
      <w:bookmarkEnd w:id="65"/>
      <w:bookmarkEnd w:id="66"/>
      <w:bookmarkEnd w:id="67"/>
      <w:bookmarkEnd w:id="68"/>
    </w:p>
    <w:p>
      <w:pPr>
        <w:keepNext w:val="0"/>
        <w:keepLines w:val="0"/>
        <w:pageBreakBefore w:val="0"/>
        <w:widowControl w:val="0"/>
        <w:numPr>
          <w:ilvl w:val="0"/>
          <w:numId w:val="11"/>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采用化学消毒的餐具应</w:t>
      </w:r>
      <w:r>
        <w:rPr>
          <w:rFonts w:hint="eastAsia" w:ascii="Times New Roman" w:hAnsi="Times New Roman" w:cs="Times New Roman"/>
          <w:color w:val="auto"/>
          <w:sz w:val="32"/>
          <w:szCs w:val="32"/>
          <w:u w:val="none"/>
          <w:lang w:val="en-US" w:eastAsia="zh-CN"/>
        </w:rPr>
        <w:t>配备</w:t>
      </w:r>
      <w:r>
        <w:rPr>
          <w:rFonts w:hint="default" w:ascii="Times New Roman" w:hAnsi="Times New Roman" w:cs="Times New Roman"/>
          <w:color w:val="auto"/>
          <w:sz w:val="32"/>
          <w:szCs w:val="32"/>
          <w:u w:val="none"/>
          <w:lang w:val="en-US" w:eastAsia="zh-CN"/>
        </w:rPr>
        <w:t>专用消毒设施</w:t>
      </w:r>
      <w:r>
        <w:rPr>
          <w:rFonts w:hint="eastAsia" w:ascii="Times New Roman" w:hAnsi="Times New Roman" w:cs="Times New Roman"/>
          <w:color w:val="auto"/>
          <w:sz w:val="32"/>
          <w:szCs w:val="32"/>
          <w:u w:val="none"/>
          <w:lang w:val="en-US" w:eastAsia="zh-CN"/>
        </w:rPr>
        <w:t>和</w:t>
      </w:r>
      <w:r>
        <w:rPr>
          <w:rFonts w:hint="default" w:ascii="Times New Roman" w:hAnsi="Times New Roman" w:cs="Times New Roman"/>
          <w:color w:val="auto"/>
          <w:sz w:val="32"/>
          <w:szCs w:val="32"/>
          <w:u w:val="none"/>
          <w:lang w:val="en-US" w:eastAsia="zh-CN"/>
        </w:rPr>
        <w:t>设备。</w:t>
      </w:r>
    </w:p>
    <w:p>
      <w:pPr>
        <w:keepNext w:val="0"/>
        <w:keepLines w:val="0"/>
        <w:pageBreakBefore w:val="0"/>
        <w:widowControl w:val="0"/>
        <w:numPr>
          <w:ilvl w:val="0"/>
          <w:numId w:val="11"/>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应设专供存放消毒后</w:t>
      </w:r>
      <w:r>
        <w:rPr>
          <w:rFonts w:hint="eastAsia" w:ascii="Times New Roman" w:hAnsi="Times New Roman" w:cs="Times New Roman"/>
          <w:color w:val="auto"/>
          <w:sz w:val="32"/>
          <w:szCs w:val="32"/>
          <w:u w:val="none"/>
          <w:lang w:val="en-US" w:eastAsia="zh-CN"/>
        </w:rPr>
        <w:t>餐饮具</w:t>
      </w:r>
      <w:r>
        <w:rPr>
          <w:rFonts w:hint="default" w:ascii="Times New Roman" w:hAnsi="Times New Roman" w:cs="Times New Roman"/>
          <w:color w:val="auto"/>
          <w:sz w:val="32"/>
          <w:szCs w:val="32"/>
          <w:u w:val="none"/>
          <w:lang w:val="en-US" w:eastAsia="zh-CN"/>
        </w:rPr>
        <w:t>的保洁设施。</w:t>
      </w:r>
    </w:p>
    <w:p>
      <w:pPr>
        <w:keepNext w:val="0"/>
        <w:keepLines w:val="0"/>
        <w:pageBreakBefore w:val="0"/>
        <w:widowControl w:val="0"/>
        <w:numPr>
          <w:ilvl w:val="0"/>
          <w:numId w:val="11"/>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食品处理区应</w:t>
      </w:r>
      <w:r>
        <w:rPr>
          <w:rFonts w:hint="eastAsia" w:ascii="Times New Roman" w:hAnsi="Times New Roman" w:cs="Times New Roman"/>
          <w:color w:val="auto"/>
          <w:sz w:val="32"/>
          <w:szCs w:val="32"/>
          <w:u w:val="none"/>
          <w:lang w:val="en-US" w:eastAsia="zh-CN"/>
        </w:rPr>
        <w:t>配备</w:t>
      </w:r>
      <w:r>
        <w:rPr>
          <w:rFonts w:hint="default" w:ascii="Times New Roman" w:hAnsi="Times New Roman" w:cs="Times New Roman"/>
          <w:color w:val="auto"/>
          <w:sz w:val="32"/>
          <w:szCs w:val="32"/>
          <w:u w:val="none"/>
          <w:lang w:val="en-US" w:eastAsia="zh-CN"/>
        </w:rPr>
        <w:t>洗手设施。</w:t>
      </w:r>
    </w:p>
    <w:p>
      <w:pPr>
        <w:keepNext w:val="0"/>
        <w:keepLines w:val="0"/>
        <w:pageBreakBefore w:val="0"/>
        <w:widowControl w:val="0"/>
        <w:numPr>
          <w:ilvl w:val="0"/>
          <w:numId w:val="11"/>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就餐区或附近</w:t>
      </w:r>
      <w:r>
        <w:rPr>
          <w:rFonts w:hint="eastAsia" w:ascii="Times New Roman" w:hAnsi="Times New Roman" w:cs="Times New Roman"/>
          <w:color w:val="auto"/>
          <w:sz w:val="32"/>
          <w:szCs w:val="32"/>
          <w:u w:val="none"/>
          <w:lang w:val="en-US" w:eastAsia="zh-CN"/>
        </w:rPr>
        <w:t>应</w:t>
      </w:r>
      <w:r>
        <w:rPr>
          <w:rFonts w:hint="default" w:ascii="Times New Roman" w:hAnsi="Times New Roman" w:cs="Times New Roman"/>
          <w:color w:val="auto"/>
          <w:sz w:val="32"/>
          <w:szCs w:val="32"/>
          <w:u w:val="none"/>
          <w:lang w:val="en-US" w:eastAsia="zh-CN"/>
        </w:rPr>
        <w:t>设有供用餐者清洗手部以及餐具、饮具的用水设施。</w:t>
      </w:r>
    </w:p>
    <w:p>
      <w:pPr>
        <w:keepNext w:val="0"/>
        <w:keepLines w:val="0"/>
        <w:pageBreakBefore w:val="0"/>
        <w:widowControl w:val="0"/>
        <w:numPr>
          <w:ilvl w:val="0"/>
          <w:numId w:val="11"/>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卫生间出口</w:t>
      </w:r>
      <w:r>
        <w:rPr>
          <w:rFonts w:hint="eastAsia" w:ascii="Times New Roman" w:hAnsi="Times New Roman" w:cs="Times New Roman"/>
          <w:color w:val="auto"/>
          <w:sz w:val="32"/>
          <w:szCs w:val="32"/>
          <w:u w:val="none"/>
          <w:lang w:val="en-US" w:eastAsia="zh-CN"/>
        </w:rPr>
        <w:t>应配备</w:t>
      </w:r>
      <w:r>
        <w:rPr>
          <w:rFonts w:hint="default" w:ascii="Times New Roman" w:hAnsi="Times New Roman" w:cs="Times New Roman"/>
          <w:color w:val="auto"/>
          <w:sz w:val="32"/>
          <w:szCs w:val="32"/>
          <w:u w:val="none"/>
          <w:lang w:val="en-US" w:eastAsia="zh-CN"/>
        </w:rPr>
        <w:t>洗手设施。</w:t>
      </w:r>
    </w:p>
    <w:p>
      <w:pPr>
        <w:pStyle w:val="12"/>
        <w:keepNext w:val="0"/>
        <w:keepLines w:val="0"/>
        <w:pageBreakBefore w:val="0"/>
        <w:widowControl w:val="0"/>
        <w:numPr>
          <w:ilvl w:val="0"/>
          <w:numId w:val="9"/>
        </w:numPr>
        <w:kinsoku/>
        <w:wordWrap/>
        <w:overflowPunct/>
        <w:topLinePunct w:val="0"/>
        <w:autoSpaceDE/>
        <w:autoSpaceDN/>
        <w:bidi w:val="0"/>
        <w:adjustRightInd/>
        <w:spacing w:line="560" w:lineRule="exact"/>
        <w:ind w:firstLine="640" w:firstLineChars="200"/>
        <w:jc w:val="both"/>
        <w:textAlignment w:val="auto"/>
        <w:outlineLvl w:val="2"/>
        <w:rPr>
          <w:rFonts w:hint="default" w:ascii="Times New Roman" w:hAnsi="Times New Roman" w:eastAsia="楷体_GB2312" w:cs="Times New Roman"/>
          <w:color w:val="auto"/>
          <w:sz w:val="32"/>
          <w:szCs w:val="32"/>
          <w:u w:val="none"/>
          <w:lang w:eastAsia="zh-CN"/>
        </w:rPr>
      </w:pPr>
      <w:bookmarkStart w:id="69" w:name="_Toc663689714"/>
      <w:bookmarkStart w:id="70" w:name="_Toc439842206"/>
      <w:bookmarkStart w:id="71" w:name="_Toc8637"/>
      <w:bookmarkStart w:id="72" w:name="_Toc1843233038"/>
      <w:bookmarkStart w:id="73" w:name="_Toc524888686"/>
      <w:bookmarkStart w:id="74" w:name="_Toc145923980"/>
      <w:r>
        <w:rPr>
          <w:rFonts w:hint="default" w:ascii="Times New Roman" w:hAnsi="Times New Roman" w:eastAsia="楷体_GB2312" w:cs="Times New Roman"/>
          <w:color w:val="auto"/>
          <w:sz w:val="32"/>
          <w:szCs w:val="32"/>
          <w:u w:val="none"/>
          <w:lang w:eastAsia="zh-CN"/>
        </w:rPr>
        <w:t>有害生物防治设施</w:t>
      </w:r>
      <w:bookmarkEnd w:id="69"/>
      <w:bookmarkEnd w:id="70"/>
      <w:bookmarkEnd w:id="71"/>
      <w:bookmarkEnd w:id="72"/>
      <w:bookmarkEnd w:id="73"/>
      <w:bookmarkEnd w:id="74"/>
    </w:p>
    <w:p>
      <w:pPr>
        <w:keepNext w:val="0"/>
        <w:keepLines w:val="0"/>
        <w:pageBreakBefore w:val="0"/>
        <w:widowControl w:val="0"/>
        <w:numPr>
          <w:ilvl w:val="0"/>
          <w:numId w:val="12"/>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eastAsia" w:ascii="Times New Roman" w:hAnsi="Times New Roman" w:cs="Times New Roman"/>
          <w:color w:val="auto"/>
          <w:sz w:val="32"/>
          <w:szCs w:val="32"/>
          <w:u w:val="none"/>
          <w:lang w:val="en-US" w:eastAsia="zh-CN"/>
        </w:rPr>
        <w:t>食堂</w:t>
      </w:r>
      <w:r>
        <w:rPr>
          <w:rFonts w:hint="default" w:ascii="Times New Roman" w:hAnsi="Times New Roman" w:cs="Times New Roman"/>
          <w:color w:val="auto"/>
          <w:sz w:val="32"/>
          <w:szCs w:val="32"/>
          <w:u w:val="none"/>
          <w:lang w:val="en-US" w:eastAsia="zh-CN"/>
        </w:rPr>
        <w:t>与外界直接相通的门</w:t>
      </w:r>
      <w:r>
        <w:rPr>
          <w:rFonts w:hint="eastAsia" w:ascii="Times New Roman" w:hAnsi="Times New Roman" w:cs="Times New Roman"/>
          <w:color w:val="auto"/>
          <w:sz w:val="32"/>
          <w:szCs w:val="32"/>
          <w:u w:val="none"/>
          <w:lang w:val="en-US" w:eastAsia="zh-CN"/>
        </w:rPr>
        <w:t>和可开启的</w:t>
      </w:r>
      <w:r>
        <w:rPr>
          <w:rFonts w:hint="default" w:ascii="Times New Roman" w:hAnsi="Times New Roman" w:cs="Times New Roman"/>
          <w:color w:val="auto"/>
          <w:sz w:val="32"/>
          <w:szCs w:val="32"/>
          <w:u w:val="none"/>
          <w:lang w:val="en-US" w:eastAsia="zh-CN"/>
        </w:rPr>
        <w:t>窗应安装空气幕、防蝇帘</w:t>
      </w:r>
      <w:r>
        <w:rPr>
          <w:rFonts w:hint="eastAsia" w:ascii="Times New Roman" w:hAnsi="Times New Roman" w:cs="Times New Roman"/>
          <w:color w:val="auto"/>
          <w:sz w:val="32"/>
          <w:szCs w:val="32"/>
          <w:u w:val="none"/>
          <w:lang w:val="en-US" w:eastAsia="zh-CN"/>
        </w:rPr>
        <w:t>或</w:t>
      </w:r>
      <w:r>
        <w:rPr>
          <w:rFonts w:hint="default" w:ascii="Times New Roman" w:hAnsi="Times New Roman" w:cs="Times New Roman"/>
          <w:color w:val="auto"/>
          <w:sz w:val="32"/>
          <w:szCs w:val="32"/>
          <w:u w:val="none"/>
          <w:lang w:val="en-US" w:eastAsia="zh-CN"/>
        </w:rPr>
        <w:t>防虫纱窗，与外界直接相通的通风口</w:t>
      </w:r>
      <w:r>
        <w:rPr>
          <w:rFonts w:hint="eastAsia" w:ascii="Times New Roman" w:hAnsi="Times New Roman" w:cs="Times New Roman"/>
          <w:color w:val="auto"/>
          <w:sz w:val="32"/>
          <w:szCs w:val="32"/>
          <w:u w:val="none"/>
          <w:lang w:val="en-US" w:eastAsia="zh-CN"/>
        </w:rPr>
        <w:t>和</w:t>
      </w:r>
      <w:r>
        <w:rPr>
          <w:rFonts w:hint="default" w:ascii="Times New Roman" w:hAnsi="Times New Roman" w:cs="Times New Roman"/>
          <w:color w:val="auto"/>
          <w:sz w:val="32"/>
          <w:szCs w:val="32"/>
          <w:u w:val="none"/>
          <w:lang w:val="en-US" w:eastAsia="zh-CN"/>
        </w:rPr>
        <w:t>换气窗外应加装不小于16目的防虫筛网</w:t>
      </w:r>
      <w:r>
        <w:rPr>
          <w:rFonts w:hint="eastAsia" w:ascii="Times New Roman" w:hAnsi="Times New Roman" w:cs="Times New Roman"/>
          <w:color w:val="auto"/>
          <w:sz w:val="32"/>
          <w:szCs w:val="32"/>
          <w:u w:val="none"/>
          <w:lang w:val="en-US" w:eastAsia="zh-CN"/>
        </w:rPr>
        <w:t>，形成封闭空间，</w:t>
      </w:r>
      <w:r>
        <w:rPr>
          <w:rFonts w:hint="default" w:ascii="Times New Roman" w:hAnsi="Times New Roman" w:cs="Times New Roman"/>
          <w:color w:val="auto"/>
          <w:sz w:val="32"/>
          <w:szCs w:val="32"/>
          <w:u w:val="none"/>
          <w:lang w:val="en-US" w:eastAsia="zh-CN"/>
        </w:rPr>
        <w:t>防止有害生物入侵。</w:t>
      </w:r>
    </w:p>
    <w:p>
      <w:pPr>
        <w:keepNext w:val="0"/>
        <w:keepLines w:val="0"/>
        <w:pageBreakBefore w:val="0"/>
        <w:widowControl w:val="0"/>
        <w:numPr>
          <w:ilvl w:val="0"/>
          <w:numId w:val="12"/>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食品处理区所有与外界相通的门和库房门应设置不低于60cm金属材质的挡鼠板</w:t>
      </w:r>
      <w:r>
        <w:rPr>
          <w:rFonts w:hint="eastAsia" w:ascii="Times New Roman" w:hAnsi="Times New Roman" w:cs="Times New Roman"/>
          <w:color w:val="auto"/>
          <w:sz w:val="32"/>
          <w:szCs w:val="32"/>
          <w:u w:val="none"/>
          <w:lang w:val="en-US" w:eastAsia="zh-CN"/>
        </w:rPr>
        <w:t>，</w:t>
      </w:r>
      <w:r>
        <w:rPr>
          <w:rFonts w:hint="default" w:ascii="Times New Roman" w:hAnsi="Times New Roman" w:cs="Times New Roman"/>
          <w:color w:val="auto"/>
          <w:sz w:val="32"/>
          <w:szCs w:val="32"/>
          <w:u w:val="none"/>
          <w:lang w:val="en-US" w:eastAsia="zh-CN"/>
        </w:rPr>
        <w:t>门缝隙应小于6mm</w:t>
      </w:r>
      <w:r>
        <w:rPr>
          <w:rFonts w:hint="eastAsia" w:ascii="Times New Roman" w:hAnsi="Times New Roman" w:cs="Times New Roman"/>
          <w:color w:val="auto"/>
          <w:sz w:val="32"/>
          <w:szCs w:val="32"/>
          <w:u w:val="none"/>
          <w:lang w:val="en-US" w:eastAsia="zh-CN"/>
        </w:rPr>
        <w:t>，</w:t>
      </w:r>
      <w:r>
        <w:rPr>
          <w:rFonts w:hint="default" w:ascii="Times New Roman" w:hAnsi="Times New Roman" w:cs="Times New Roman"/>
          <w:color w:val="auto"/>
          <w:sz w:val="32"/>
          <w:szCs w:val="32"/>
          <w:u w:val="none"/>
          <w:lang w:val="en-US" w:eastAsia="zh-CN"/>
        </w:rPr>
        <w:t>防止</w:t>
      </w:r>
      <w:r>
        <w:rPr>
          <w:rFonts w:hint="default" w:ascii="Times New Roman" w:hAnsi="Times New Roman" w:cs="Times New Roman"/>
          <w:color w:val="auto"/>
          <w:sz w:val="32"/>
          <w:szCs w:val="32"/>
          <w:u w:val="none"/>
        </w:rPr>
        <w:t>鼠类侵入。</w:t>
      </w:r>
    </w:p>
    <w:p>
      <w:pPr>
        <w:keepNext w:val="0"/>
        <w:keepLines w:val="0"/>
        <w:pageBreakBefore w:val="0"/>
        <w:widowControl w:val="0"/>
        <w:numPr>
          <w:ilvl w:val="0"/>
          <w:numId w:val="12"/>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排水管道与外界相通的出口应</w:t>
      </w:r>
      <w:r>
        <w:rPr>
          <w:rFonts w:hint="eastAsia" w:ascii="Times New Roman" w:hAnsi="Times New Roman" w:cs="Times New Roman"/>
          <w:color w:val="auto"/>
          <w:sz w:val="32"/>
          <w:szCs w:val="32"/>
          <w:u w:val="none"/>
          <w:lang w:val="en-US" w:eastAsia="zh-CN"/>
        </w:rPr>
        <w:t>采取防护</w:t>
      </w:r>
      <w:r>
        <w:rPr>
          <w:rFonts w:hint="default" w:ascii="Times New Roman" w:hAnsi="Times New Roman" w:cs="Times New Roman"/>
          <w:color w:val="auto"/>
          <w:sz w:val="32"/>
          <w:szCs w:val="32"/>
          <w:u w:val="none"/>
          <w:lang w:val="en-US" w:eastAsia="zh-CN"/>
        </w:rPr>
        <w:t>措施，出水口安装的篦子宜使用金属材料制成，篦子缝隙间距或网眼应小于10mm</w:t>
      </w:r>
      <w:r>
        <w:rPr>
          <w:rFonts w:hint="eastAsia" w:ascii="Times New Roman" w:hAnsi="Times New Roman" w:cs="Times New Roman"/>
          <w:color w:val="auto"/>
          <w:sz w:val="32"/>
          <w:szCs w:val="32"/>
          <w:u w:val="none"/>
          <w:lang w:val="en-US" w:eastAsia="zh-CN"/>
        </w:rPr>
        <w:t>，</w:t>
      </w:r>
      <w:r>
        <w:rPr>
          <w:rFonts w:hint="default" w:ascii="Times New Roman" w:hAnsi="Times New Roman" w:cs="Times New Roman"/>
          <w:color w:val="auto"/>
          <w:sz w:val="32"/>
          <w:szCs w:val="32"/>
          <w:u w:val="none"/>
          <w:lang w:val="en-US" w:eastAsia="zh-CN"/>
        </w:rPr>
        <w:t>防止有害生物</w:t>
      </w:r>
      <w:r>
        <w:rPr>
          <w:rFonts w:hint="eastAsia" w:ascii="Times New Roman" w:hAnsi="Times New Roman" w:cs="Times New Roman"/>
          <w:color w:val="auto"/>
          <w:sz w:val="32"/>
          <w:szCs w:val="32"/>
          <w:u w:val="none"/>
          <w:lang w:val="en-US" w:eastAsia="zh-CN"/>
        </w:rPr>
        <w:t>入侵</w:t>
      </w:r>
      <w:r>
        <w:rPr>
          <w:rFonts w:hint="default" w:ascii="Times New Roman" w:hAnsi="Times New Roman" w:cs="Times New Roman"/>
          <w:color w:val="auto"/>
          <w:sz w:val="32"/>
          <w:szCs w:val="32"/>
          <w:u w:val="none"/>
          <w:lang w:val="en-US" w:eastAsia="zh-CN"/>
        </w:rPr>
        <w:t>。</w:t>
      </w:r>
    </w:p>
    <w:p>
      <w:pPr>
        <w:keepNext w:val="0"/>
        <w:keepLines w:val="0"/>
        <w:pageBreakBefore w:val="0"/>
        <w:widowControl w:val="0"/>
        <w:numPr>
          <w:ilvl w:val="0"/>
          <w:numId w:val="12"/>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食品处理区、就餐区宜安装粘捕式灭蝇灯</w:t>
      </w:r>
      <w:r>
        <w:rPr>
          <w:rFonts w:hint="eastAsia" w:ascii="Times New Roman" w:hAnsi="Times New Roman" w:cs="Times New Roman"/>
          <w:color w:val="auto"/>
          <w:sz w:val="32"/>
          <w:szCs w:val="32"/>
          <w:u w:val="none"/>
          <w:lang w:val="en-US" w:eastAsia="zh-CN"/>
        </w:rPr>
        <w:t>，</w:t>
      </w:r>
      <w:r>
        <w:rPr>
          <w:rFonts w:hint="eastAsia" w:ascii="Times New Roman" w:hAnsi="Times New Roman" w:cs="Times New Roman"/>
          <w:color w:val="auto"/>
          <w:sz w:val="32"/>
          <w:szCs w:val="32"/>
          <w:u w:val="none"/>
        </w:rPr>
        <w:t>有效控制飞虫。</w:t>
      </w:r>
    </w:p>
    <w:p>
      <w:pPr>
        <w:pStyle w:val="12"/>
        <w:keepNext w:val="0"/>
        <w:keepLines w:val="0"/>
        <w:pageBreakBefore w:val="0"/>
        <w:widowControl w:val="0"/>
        <w:numPr>
          <w:ilvl w:val="0"/>
          <w:numId w:val="9"/>
        </w:numPr>
        <w:kinsoku/>
        <w:wordWrap/>
        <w:overflowPunct/>
        <w:topLinePunct w:val="0"/>
        <w:autoSpaceDE/>
        <w:autoSpaceDN/>
        <w:bidi w:val="0"/>
        <w:adjustRightInd/>
        <w:spacing w:line="560" w:lineRule="exact"/>
        <w:ind w:firstLine="640" w:firstLineChars="200"/>
        <w:jc w:val="both"/>
        <w:textAlignment w:val="auto"/>
        <w:outlineLvl w:val="2"/>
        <w:rPr>
          <w:rFonts w:hint="default" w:ascii="Times New Roman" w:hAnsi="Times New Roman" w:eastAsia="楷体_GB2312" w:cs="Times New Roman"/>
          <w:color w:val="auto"/>
          <w:sz w:val="32"/>
          <w:szCs w:val="32"/>
          <w:u w:val="none"/>
          <w:lang w:eastAsia="zh-CN"/>
        </w:rPr>
      </w:pPr>
      <w:bookmarkStart w:id="75" w:name="_Toc1344624145"/>
      <w:bookmarkStart w:id="76" w:name="_Toc1102698824"/>
      <w:bookmarkStart w:id="77" w:name="_Toc26075"/>
      <w:bookmarkStart w:id="78" w:name="_Toc532298430"/>
      <w:bookmarkStart w:id="79" w:name="_Toc1366936767"/>
      <w:bookmarkStart w:id="80" w:name="_Toc132401877"/>
      <w:r>
        <w:rPr>
          <w:rFonts w:hint="default" w:ascii="Times New Roman" w:hAnsi="Times New Roman" w:eastAsia="楷体_GB2312" w:cs="Times New Roman"/>
          <w:color w:val="auto"/>
          <w:sz w:val="32"/>
          <w:szCs w:val="32"/>
          <w:u w:val="none"/>
          <w:lang w:eastAsia="zh-CN"/>
        </w:rPr>
        <w:t>给排水设施</w:t>
      </w:r>
      <w:bookmarkEnd w:id="75"/>
      <w:bookmarkEnd w:id="76"/>
      <w:bookmarkEnd w:id="77"/>
      <w:bookmarkEnd w:id="78"/>
      <w:bookmarkEnd w:id="79"/>
      <w:bookmarkEnd w:id="80"/>
    </w:p>
    <w:p>
      <w:pPr>
        <w:keepNext w:val="0"/>
        <w:keepLines w:val="0"/>
        <w:pageBreakBefore w:val="0"/>
        <w:widowControl w:val="0"/>
        <w:numPr>
          <w:ilvl w:val="0"/>
          <w:numId w:val="13"/>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食品加工用水与其他不与食品接触的用水的管道系统应完全分离，防止非食品加工用水逆流至食品加工用水管</w:t>
      </w:r>
      <w:r>
        <w:rPr>
          <w:rFonts w:hint="eastAsia" w:ascii="Times New Roman" w:hAnsi="Times New Roman" w:cs="Times New Roman"/>
          <w:color w:val="auto"/>
          <w:sz w:val="32"/>
          <w:szCs w:val="32"/>
          <w:u w:val="none"/>
          <w:lang w:val="en-US" w:eastAsia="zh-CN"/>
        </w:rPr>
        <w:t>道</w:t>
      </w:r>
      <w:r>
        <w:rPr>
          <w:rFonts w:hint="default" w:ascii="Times New Roman" w:hAnsi="Times New Roman" w:cs="Times New Roman"/>
          <w:color w:val="auto"/>
          <w:sz w:val="32"/>
          <w:szCs w:val="32"/>
          <w:u w:val="none"/>
          <w:lang w:val="en-US" w:eastAsia="zh-CN"/>
        </w:rPr>
        <w:t>。</w:t>
      </w:r>
    </w:p>
    <w:p>
      <w:pPr>
        <w:keepNext w:val="0"/>
        <w:keepLines w:val="0"/>
        <w:pageBreakBefore w:val="0"/>
        <w:widowControl w:val="0"/>
        <w:numPr>
          <w:ilvl w:val="0"/>
          <w:numId w:val="13"/>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排水沟应设有可拆卸的盖板，</w:t>
      </w:r>
      <w:r>
        <w:rPr>
          <w:rFonts w:hint="eastAsia" w:ascii="Times New Roman" w:hAnsi="Times New Roman" w:cs="Times New Roman"/>
          <w:color w:val="auto"/>
          <w:sz w:val="32"/>
          <w:szCs w:val="32"/>
          <w:u w:val="none"/>
          <w:lang w:val="en-US" w:eastAsia="zh-CN"/>
        </w:rPr>
        <w:t>内部</w:t>
      </w:r>
      <w:r>
        <w:rPr>
          <w:rFonts w:hint="default" w:ascii="Times New Roman" w:hAnsi="Times New Roman" w:cs="Times New Roman"/>
          <w:color w:val="auto"/>
          <w:sz w:val="32"/>
          <w:szCs w:val="32"/>
          <w:u w:val="none"/>
          <w:lang w:val="en-US" w:eastAsia="zh-CN"/>
        </w:rPr>
        <w:t>不应设置其他管路。</w:t>
      </w:r>
    </w:p>
    <w:p>
      <w:pPr>
        <w:keepNext w:val="0"/>
        <w:keepLines w:val="0"/>
        <w:pageBreakBefore w:val="0"/>
        <w:widowControl w:val="0"/>
        <w:numPr>
          <w:ilvl w:val="0"/>
          <w:numId w:val="13"/>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专间、专用操作区不应设置明沟；如设地漏，应</w:t>
      </w:r>
      <w:r>
        <w:rPr>
          <w:rFonts w:hint="eastAsia" w:ascii="Times New Roman" w:hAnsi="Times New Roman" w:cs="Times New Roman"/>
          <w:color w:val="auto"/>
          <w:sz w:val="32"/>
          <w:szCs w:val="32"/>
          <w:u w:val="none"/>
          <w:lang w:val="en-US" w:eastAsia="zh-CN"/>
        </w:rPr>
        <w:t>配备</w:t>
      </w:r>
      <w:r>
        <w:rPr>
          <w:rFonts w:hint="default" w:ascii="Times New Roman" w:hAnsi="Times New Roman" w:cs="Times New Roman"/>
          <w:color w:val="auto"/>
          <w:sz w:val="32"/>
          <w:szCs w:val="32"/>
          <w:u w:val="none"/>
          <w:lang w:val="en-US" w:eastAsia="zh-CN"/>
        </w:rPr>
        <w:t>水封等装置。</w:t>
      </w:r>
    </w:p>
    <w:p>
      <w:pPr>
        <w:pStyle w:val="12"/>
        <w:keepNext w:val="0"/>
        <w:keepLines w:val="0"/>
        <w:pageBreakBefore w:val="0"/>
        <w:widowControl w:val="0"/>
        <w:numPr>
          <w:ilvl w:val="0"/>
          <w:numId w:val="9"/>
        </w:numPr>
        <w:kinsoku/>
        <w:wordWrap/>
        <w:overflowPunct/>
        <w:topLinePunct w:val="0"/>
        <w:autoSpaceDE/>
        <w:autoSpaceDN/>
        <w:bidi w:val="0"/>
        <w:adjustRightInd/>
        <w:spacing w:line="560" w:lineRule="exact"/>
        <w:ind w:firstLine="640" w:firstLineChars="200"/>
        <w:jc w:val="both"/>
        <w:textAlignment w:val="auto"/>
        <w:outlineLvl w:val="2"/>
        <w:rPr>
          <w:rFonts w:hint="default" w:ascii="Times New Roman" w:hAnsi="Times New Roman" w:eastAsia="楷体_GB2312" w:cs="Times New Roman"/>
          <w:color w:val="auto"/>
          <w:sz w:val="32"/>
          <w:szCs w:val="32"/>
          <w:u w:val="none"/>
          <w:lang w:eastAsia="zh-CN"/>
        </w:rPr>
      </w:pPr>
      <w:bookmarkStart w:id="81" w:name="_Toc1244629472"/>
      <w:bookmarkStart w:id="82" w:name="_Toc336060089"/>
      <w:bookmarkStart w:id="83" w:name="_Toc2129973181"/>
      <w:bookmarkStart w:id="84" w:name="_Toc412967366"/>
      <w:bookmarkStart w:id="85" w:name="_Toc334998660"/>
      <w:bookmarkStart w:id="86" w:name="_Toc20114"/>
      <w:r>
        <w:rPr>
          <w:rFonts w:hint="default" w:ascii="Times New Roman" w:hAnsi="Times New Roman" w:eastAsia="楷体_GB2312" w:cs="Times New Roman"/>
          <w:color w:val="auto"/>
          <w:sz w:val="32"/>
          <w:szCs w:val="32"/>
          <w:u w:val="none"/>
          <w:lang w:eastAsia="zh-CN"/>
        </w:rPr>
        <w:t>卫生间</w:t>
      </w:r>
      <w:bookmarkEnd w:id="81"/>
      <w:bookmarkEnd w:id="82"/>
      <w:bookmarkEnd w:id="83"/>
      <w:bookmarkEnd w:id="84"/>
      <w:bookmarkEnd w:id="85"/>
      <w:bookmarkEnd w:id="86"/>
    </w:p>
    <w:p>
      <w:pPr>
        <w:keepNext w:val="0"/>
        <w:keepLines w:val="0"/>
        <w:pageBreakBefore w:val="0"/>
        <w:widowControl w:val="0"/>
        <w:numPr>
          <w:ilvl w:val="0"/>
          <w:numId w:val="14"/>
        </w:numPr>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卫生间排污管道与食品处理区排水管道分设，且</w:t>
      </w:r>
      <w:r>
        <w:rPr>
          <w:rFonts w:hint="eastAsia" w:ascii="Times New Roman" w:hAnsi="Times New Roman" w:cs="Times New Roman"/>
          <w:color w:val="auto"/>
          <w:sz w:val="32"/>
          <w:szCs w:val="32"/>
          <w:u w:val="none"/>
          <w:lang w:val="en-US" w:eastAsia="zh-CN"/>
        </w:rPr>
        <w:t>配备</w:t>
      </w:r>
      <w:r>
        <w:rPr>
          <w:rFonts w:hint="default" w:ascii="Times New Roman" w:hAnsi="Times New Roman" w:cs="Times New Roman"/>
          <w:color w:val="auto"/>
          <w:sz w:val="32"/>
          <w:szCs w:val="32"/>
          <w:u w:val="none"/>
          <w:lang w:val="en-US" w:eastAsia="zh-CN"/>
        </w:rPr>
        <w:t>有防臭气水封。排污口</w:t>
      </w:r>
      <w:r>
        <w:rPr>
          <w:rFonts w:hint="eastAsia" w:ascii="Times New Roman" w:hAnsi="Times New Roman" w:cs="Times New Roman"/>
          <w:color w:val="auto"/>
          <w:sz w:val="32"/>
          <w:szCs w:val="32"/>
          <w:u w:val="none"/>
          <w:lang w:val="en-US" w:eastAsia="zh-CN"/>
        </w:rPr>
        <w:t>设在</w:t>
      </w:r>
      <w:r>
        <w:rPr>
          <w:rFonts w:hint="default" w:ascii="Times New Roman" w:hAnsi="Times New Roman" w:cs="Times New Roman"/>
          <w:color w:val="auto"/>
          <w:sz w:val="32"/>
          <w:szCs w:val="32"/>
          <w:u w:val="none"/>
          <w:lang w:val="en-US" w:eastAsia="zh-CN"/>
        </w:rPr>
        <w:t>食堂外。</w:t>
      </w:r>
    </w:p>
    <w:p>
      <w:pPr>
        <w:keepNext w:val="0"/>
        <w:keepLines w:val="0"/>
        <w:pageBreakBefore w:val="0"/>
        <w:widowControl w:val="0"/>
        <w:numPr>
          <w:ilvl w:val="0"/>
          <w:numId w:val="14"/>
        </w:numPr>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eastAsia="楷体_GB2312"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卫生间应设置独立的排风装置，排风口不</w:t>
      </w:r>
      <w:r>
        <w:rPr>
          <w:rFonts w:hint="eastAsia" w:ascii="Times New Roman" w:hAnsi="Times New Roman" w:cs="Times New Roman"/>
          <w:color w:val="auto"/>
          <w:sz w:val="32"/>
          <w:szCs w:val="32"/>
          <w:u w:val="none"/>
          <w:lang w:val="en-US" w:eastAsia="zh-CN"/>
        </w:rPr>
        <w:t>得</w:t>
      </w:r>
      <w:r>
        <w:rPr>
          <w:rFonts w:hint="default" w:ascii="Times New Roman" w:hAnsi="Times New Roman" w:cs="Times New Roman"/>
          <w:color w:val="auto"/>
          <w:sz w:val="32"/>
          <w:szCs w:val="32"/>
          <w:u w:val="none"/>
          <w:lang w:val="en-US" w:eastAsia="zh-CN"/>
        </w:rPr>
        <w:t>直对食品处理区或就餐区。</w:t>
      </w:r>
    </w:p>
    <w:p>
      <w:pPr>
        <w:keepNext w:val="0"/>
        <w:keepLines w:val="0"/>
        <w:pageBreakBefore w:val="0"/>
        <w:widowControl w:val="0"/>
        <w:numPr>
          <w:ilvl w:val="0"/>
          <w:numId w:val="1"/>
        </w:numPr>
        <w:kinsoku/>
        <w:wordWrap/>
        <w:overflowPunct/>
        <w:topLinePunct w:val="0"/>
        <w:autoSpaceDE/>
        <w:autoSpaceDN/>
        <w:bidi w:val="0"/>
        <w:adjustRightInd/>
        <w:spacing w:line="560" w:lineRule="exact"/>
        <w:ind w:firstLine="640"/>
        <w:jc w:val="both"/>
        <w:textAlignment w:val="auto"/>
        <w:outlineLvl w:val="1"/>
        <w:rPr>
          <w:rFonts w:hint="default" w:ascii="Times New Roman" w:hAnsi="Times New Roman" w:eastAsia="方正黑体_GBK" w:cs="Times New Roman"/>
          <w:color w:val="auto"/>
          <w:sz w:val="32"/>
          <w:szCs w:val="32"/>
          <w:u w:val="none"/>
        </w:rPr>
      </w:pPr>
      <w:bookmarkStart w:id="87" w:name="_Toc184712093"/>
      <w:bookmarkStart w:id="88" w:name="_Toc1585552883"/>
      <w:bookmarkStart w:id="89" w:name="_Toc5667"/>
      <w:bookmarkStart w:id="90" w:name="_Toc390087853"/>
      <w:bookmarkStart w:id="91" w:name="_Toc619150128"/>
      <w:bookmarkStart w:id="92" w:name="_Toc1971150719"/>
      <w:r>
        <w:rPr>
          <w:rFonts w:hint="default" w:ascii="Times New Roman" w:hAnsi="Times New Roman" w:eastAsia="方正黑体_GBK" w:cs="Times New Roman"/>
          <w:color w:val="auto"/>
          <w:sz w:val="32"/>
          <w:szCs w:val="32"/>
          <w:u w:val="none"/>
          <w:lang w:eastAsia="zh-CN"/>
        </w:rPr>
        <w:t>食堂管理关键环节</w:t>
      </w:r>
      <w:bookmarkEnd w:id="87"/>
      <w:bookmarkEnd w:id="88"/>
      <w:bookmarkEnd w:id="89"/>
      <w:bookmarkEnd w:id="90"/>
      <w:bookmarkEnd w:id="91"/>
      <w:bookmarkEnd w:id="92"/>
    </w:p>
    <w:p>
      <w:pPr>
        <w:pStyle w:val="12"/>
        <w:keepNext w:val="0"/>
        <w:keepLines w:val="0"/>
        <w:pageBreakBefore w:val="0"/>
        <w:widowControl w:val="0"/>
        <w:numPr>
          <w:ilvl w:val="0"/>
          <w:numId w:val="15"/>
        </w:numPr>
        <w:kinsoku/>
        <w:wordWrap/>
        <w:overflowPunct/>
        <w:topLinePunct w:val="0"/>
        <w:autoSpaceDE/>
        <w:autoSpaceDN/>
        <w:bidi w:val="0"/>
        <w:adjustRightInd/>
        <w:spacing w:line="560" w:lineRule="exact"/>
        <w:jc w:val="both"/>
        <w:textAlignment w:val="auto"/>
        <w:outlineLvl w:val="2"/>
        <w:rPr>
          <w:rFonts w:hint="default" w:ascii="Times New Roman" w:hAnsi="Times New Roman" w:eastAsia="楷体_GB2312" w:cs="Times New Roman"/>
          <w:color w:val="auto"/>
          <w:sz w:val="32"/>
          <w:szCs w:val="32"/>
          <w:u w:val="none"/>
          <w:lang w:val="en-US" w:eastAsia="zh-CN"/>
        </w:rPr>
      </w:pPr>
      <w:bookmarkStart w:id="93" w:name="_Toc1082460504"/>
      <w:bookmarkStart w:id="94" w:name="_Toc1788578286"/>
      <w:bookmarkStart w:id="95" w:name="_Toc6016"/>
      <w:bookmarkStart w:id="96" w:name="_Toc1835229354"/>
      <w:bookmarkStart w:id="97" w:name="_Toc1133710733"/>
      <w:bookmarkStart w:id="98" w:name="_Toc1650668617"/>
      <w:r>
        <w:rPr>
          <w:rFonts w:hint="default" w:ascii="Times New Roman" w:hAnsi="Times New Roman" w:eastAsia="楷体_GB2312" w:cs="Times New Roman"/>
          <w:color w:val="auto"/>
          <w:sz w:val="32"/>
          <w:szCs w:val="32"/>
          <w:u w:val="none"/>
          <w:lang w:val="en-US" w:eastAsia="zh-CN"/>
        </w:rPr>
        <w:t>信息公示</w:t>
      </w:r>
      <w:bookmarkEnd w:id="93"/>
      <w:bookmarkEnd w:id="94"/>
      <w:bookmarkEnd w:id="95"/>
      <w:bookmarkEnd w:id="96"/>
      <w:bookmarkEnd w:id="97"/>
      <w:bookmarkEnd w:id="98"/>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lang w:val="en-US" w:eastAsia="zh-CN"/>
        </w:rPr>
        <w:t>应在食堂就餐区等经营场所</w:t>
      </w:r>
      <w:r>
        <w:rPr>
          <w:rFonts w:hint="eastAsia" w:ascii="Times New Roman" w:hAnsi="Times New Roman" w:cs="Times New Roman"/>
          <w:color w:val="auto"/>
          <w:sz w:val="32"/>
          <w:szCs w:val="32"/>
          <w:u w:val="none"/>
          <w:lang w:val="en-US" w:eastAsia="zh-CN"/>
        </w:rPr>
        <w:t>的</w:t>
      </w:r>
      <w:r>
        <w:rPr>
          <w:rFonts w:hint="default" w:ascii="Times New Roman" w:hAnsi="Times New Roman" w:cs="Times New Roman"/>
          <w:color w:val="auto"/>
          <w:sz w:val="32"/>
          <w:szCs w:val="32"/>
          <w:u w:val="none"/>
          <w:lang w:val="en-US" w:eastAsia="zh-CN"/>
        </w:rPr>
        <w:t>醒目位置公示食品安全管理机构、食品经营许可证、日常监督检查结果、从业人员健康证明、食材进货来源、供餐单位、</w:t>
      </w:r>
      <w:r>
        <w:rPr>
          <w:rFonts w:hint="default" w:ascii="Times New Roman" w:hAnsi="Times New Roman" w:cs="Times New Roman"/>
          <w:color w:val="auto"/>
          <w:sz w:val="32"/>
          <w:szCs w:val="32"/>
          <w:u w:val="none"/>
        </w:rPr>
        <w:t>伙食费收费标准</w:t>
      </w:r>
      <w:r>
        <w:rPr>
          <w:rFonts w:hint="default" w:ascii="Times New Roman" w:hAnsi="Times New Roman" w:cs="Times New Roman"/>
          <w:color w:val="auto"/>
          <w:sz w:val="32"/>
          <w:szCs w:val="32"/>
          <w:u w:val="none"/>
          <w:lang w:eastAsia="zh-CN"/>
        </w:rPr>
        <w:t>、</w:t>
      </w:r>
      <w:r>
        <w:rPr>
          <w:rFonts w:hint="default" w:ascii="Times New Roman" w:hAnsi="Times New Roman" w:cs="Times New Roman"/>
          <w:color w:val="auto"/>
          <w:sz w:val="32"/>
          <w:szCs w:val="32"/>
          <w:u w:val="none"/>
        </w:rPr>
        <w:t>每周带量食谱</w:t>
      </w:r>
      <w:r>
        <w:rPr>
          <w:rFonts w:hint="default" w:ascii="Times New Roman" w:hAnsi="Times New Roman" w:cs="Times New Roman"/>
          <w:color w:val="auto"/>
          <w:sz w:val="32"/>
          <w:szCs w:val="32"/>
          <w:u w:val="none"/>
          <w:lang w:eastAsia="zh-CN"/>
        </w:rPr>
        <w:t>、</w:t>
      </w:r>
      <w:r>
        <w:rPr>
          <w:rFonts w:hint="default" w:ascii="Times New Roman" w:hAnsi="Times New Roman" w:cs="Times New Roman"/>
          <w:color w:val="auto"/>
          <w:sz w:val="32"/>
          <w:szCs w:val="32"/>
          <w:u w:val="none"/>
        </w:rPr>
        <w:t>食材价格</w:t>
      </w:r>
      <w:r>
        <w:rPr>
          <w:rFonts w:hint="default" w:ascii="Times New Roman" w:hAnsi="Times New Roman" w:cs="Times New Roman"/>
          <w:color w:val="auto"/>
          <w:sz w:val="32"/>
          <w:szCs w:val="32"/>
          <w:u w:val="none"/>
          <w:lang w:val="en-US" w:eastAsia="zh-CN"/>
        </w:rPr>
        <w:t>等信息</w:t>
      </w:r>
      <w:r>
        <w:rPr>
          <w:rFonts w:hint="eastAsia" w:ascii="Times New Roman" w:hAnsi="Times New Roman" w:cs="Times New Roman"/>
          <w:color w:val="auto"/>
          <w:sz w:val="32"/>
          <w:szCs w:val="32"/>
          <w:u w:val="none"/>
          <w:lang w:val="en-US" w:eastAsia="zh-CN"/>
        </w:rPr>
        <w:t>，确保信息透明，方便公众监督。</w:t>
      </w:r>
    </w:p>
    <w:p>
      <w:pPr>
        <w:pStyle w:val="12"/>
        <w:keepNext w:val="0"/>
        <w:keepLines w:val="0"/>
        <w:pageBreakBefore w:val="0"/>
        <w:widowControl w:val="0"/>
        <w:numPr>
          <w:ilvl w:val="0"/>
          <w:numId w:val="15"/>
        </w:numPr>
        <w:kinsoku/>
        <w:wordWrap/>
        <w:overflowPunct/>
        <w:topLinePunct w:val="0"/>
        <w:autoSpaceDE/>
        <w:autoSpaceDN/>
        <w:bidi w:val="0"/>
        <w:adjustRightInd/>
        <w:spacing w:line="560" w:lineRule="exact"/>
        <w:jc w:val="both"/>
        <w:textAlignment w:val="auto"/>
        <w:outlineLvl w:val="2"/>
        <w:rPr>
          <w:rFonts w:hint="default" w:ascii="Times New Roman" w:hAnsi="Times New Roman" w:eastAsia="楷体_GB2312" w:cs="Times New Roman"/>
          <w:color w:val="auto"/>
          <w:sz w:val="32"/>
          <w:szCs w:val="32"/>
          <w:u w:val="none"/>
          <w:lang w:val="en-US" w:eastAsia="zh-CN"/>
        </w:rPr>
      </w:pPr>
      <w:bookmarkStart w:id="99" w:name="_Toc114906143"/>
      <w:bookmarkStart w:id="100" w:name="_Toc92296929"/>
      <w:bookmarkStart w:id="101" w:name="_Toc1673159302"/>
      <w:bookmarkStart w:id="102" w:name="_Toc1189308062"/>
      <w:bookmarkStart w:id="103" w:name="_Toc45374855"/>
      <w:bookmarkStart w:id="104" w:name="_Toc13226"/>
      <w:r>
        <w:rPr>
          <w:rFonts w:hint="default" w:ascii="Times New Roman" w:hAnsi="Times New Roman" w:eastAsia="楷体_GB2312" w:cs="Times New Roman"/>
          <w:color w:val="auto"/>
          <w:sz w:val="32"/>
          <w:szCs w:val="32"/>
          <w:u w:val="none"/>
          <w:lang w:val="en-US" w:eastAsia="zh-CN"/>
        </w:rPr>
        <w:t>食材采购</w:t>
      </w:r>
      <w:bookmarkEnd w:id="99"/>
      <w:bookmarkEnd w:id="100"/>
      <w:bookmarkEnd w:id="101"/>
      <w:bookmarkEnd w:id="102"/>
      <w:bookmarkEnd w:id="103"/>
      <w:bookmarkEnd w:id="104"/>
    </w:p>
    <w:p>
      <w:pPr>
        <w:keepNext w:val="0"/>
        <w:keepLines w:val="0"/>
        <w:pageBreakBefore w:val="0"/>
        <w:widowControl w:val="0"/>
        <w:numPr>
          <w:ilvl w:val="0"/>
          <w:numId w:val="16"/>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rPr>
        <w:t>学校食堂采购食品及原料</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遵循安全、健康、符合营养需</w:t>
      </w:r>
      <w:r>
        <w:rPr>
          <w:rFonts w:hint="eastAsia" w:ascii="Times New Roman" w:hAnsi="Times New Roman" w:cs="Times New Roman"/>
          <w:color w:val="auto"/>
          <w:sz w:val="32"/>
          <w:szCs w:val="32"/>
          <w:u w:val="none"/>
          <w:lang w:val="en-US" w:eastAsia="zh-CN"/>
        </w:rPr>
        <w:t>求</w:t>
      </w:r>
      <w:r>
        <w:rPr>
          <w:rFonts w:hint="default" w:ascii="Times New Roman" w:hAnsi="Times New Roman" w:cs="Times New Roman"/>
          <w:color w:val="auto"/>
          <w:sz w:val="32"/>
          <w:szCs w:val="32"/>
          <w:u w:val="none"/>
        </w:rPr>
        <w:t>的原则。</w:t>
      </w:r>
    </w:p>
    <w:p>
      <w:pPr>
        <w:keepNext w:val="0"/>
        <w:keepLines w:val="0"/>
        <w:pageBreakBefore w:val="0"/>
        <w:widowControl w:val="0"/>
        <w:numPr>
          <w:ilvl w:val="0"/>
          <w:numId w:val="16"/>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eastAsia="zh-CN"/>
        </w:rPr>
      </w:pPr>
      <w:r>
        <w:rPr>
          <w:rFonts w:hint="default" w:ascii="Times New Roman" w:hAnsi="Times New Roman" w:cs="Times New Roman"/>
          <w:color w:val="auto"/>
          <w:sz w:val="32"/>
          <w:szCs w:val="32"/>
          <w:u w:val="none"/>
          <w:lang w:eastAsia="zh-CN"/>
        </w:rPr>
        <w:t>严把食材供货关，有条件的学校，蔬菜应当天配送，肉类全部确保新鲜</w:t>
      </w:r>
      <w:r>
        <w:rPr>
          <w:rFonts w:hint="eastAsia" w:ascii="Times New Roman" w:hAnsi="Times New Roman" w:cs="Times New Roman"/>
          <w:color w:val="auto"/>
          <w:sz w:val="32"/>
          <w:szCs w:val="32"/>
          <w:u w:val="none"/>
          <w:lang w:eastAsia="zh-CN"/>
        </w:rPr>
        <w:t>。</w:t>
      </w:r>
    </w:p>
    <w:p>
      <w:pPr>
        <w:keepNext w:val="0"/>
        <w:keepLines w:val="0"/>
        <w:pageBreakBefore w:val="0"/>
        <w:widowControl w:val="0"/>
        <w:numPr>
          <w:ilvl w:val="0"/>
          <w:numId w:val="16"/>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lang w:eastAsia="zh-CN"/>
        </w:rPr>
        <w:t>实施营养改善计划地区的学校食堂</w:t>
      </w:r>
      <w:r>
        <w:rPr>
          <w:rFonts w:hint="eastAsia" w:ascii="Times New Roman" w:hAnsi="Times New Roman" w:cs="Times New Roman"/>
          <w:color w:val="auto"/>
          <w:sz w:val="32"/>
          <w:szCs w:val="32"/>
          <w:u w:val="none"/>
          <w:lang w:eastAsia="zh-CN"/>
        </w:rPr>
        <w:t>，</w:t>
      </w:r>
      <w:r>
        <w:rPr>
          <w:rFonts w:hint="default" w:ascii="Times New Roman" w:hAnsi="Times New Roman" w:cs="Times New Roman"/>
          <w:color w:val="auto"/>
          <w:sz w:val="32"/>
          <w:szCs w:val="32"/>
          <w:u w:val="none"/>
          <w:lang w:eastAsia="zh-CN"/>
        </w:rPr>
        <w:t>大米、食用油、面粉、肉、蛋、奶等均应纳入政府采购范围，由县级有关部门统一组织实施。</w:t>
      </w:r>
      <w:r>
        <w:rPr>
          <w:rFonts w:hint="eastAsia" w:ascii="Times New Roman" w:hAnsi="Times New Roman" w:cs="Times New Roman"/>
          <w:color w:val="auto"/>
          <w:sz w:val="32"/>
          <w:szCs w:val="32"/>
          <w:u w:val="none"/>
          <w:lang w:eastAsia="zh-CN"/>
        </w:rPr>
        <w:t>鼓励支持其他地区和学校参照执行。</w:t>
      </w:r>
    </w:p>
    <w:p>
      <w:pPr>
        <w:keepNext w:val="0"/>
        <w:keepLines w:val="0"/>
        <w:pageBreakBefore w:val="0"/>
        <w:widowControl w:val="0"/>
        <w:numPr>
          <w:ilvl w:val="0"/>
          <w:numId w:val="16"/>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rPr>
        <w:t>签订采购合同时</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明确供货者食品安全责任和义务，保证食品安全。</w:t>
      </w:r>
    </w:p>
    <w:p>
      <w:pPr>
        <w:keepNext w:val="0"/>
        <w:keepLines w:val="0"/>
        <w:pageBreakBefore w:val="0"/>
        <w:widowControl w:val="0"/>
        <w:numPr>
          <w:ilvl w:val="0"/>
          <w:numId w:val="16"/>
        </w:numPr>
        <w:kinsoku/>
        <w:wordWrap/>
        <w:overflowPunct/>
        <w:topLinePunct w:val="0"/>
        <w:autoSpaceDE/>
        <w:autoSpaceDN/>
        <w:bidi w:val="0"/>
        <w:adjustRightInd/>
        <w:spacing w:line="560" w:lineRule="exact"/>
        <w:jc w:val="both"/>
        <w:textAlignment w:val="auto"/>
        <w:rPr>
          <w:rFonts w:hint="default" w:ascii="Times New Roman" w:hAnsi="Times New Roman" w:eastAsia="楷体_GB2312" w:cs="Times New Roman"/>
          <w:color w:val="auto"/>
          <w:sz w:val="32"/>
          <w:szCs w:val="32"/>
          <w:u w:val="none"/>
          <w:lang w:val="en-US" w:eastAsia="zh-CN"/>
        </w:rPr>
      </w:pPr>
      <w:r>
        <w:rPr>
          <w:rFonts w:hint="default" w:ascii="Times New Roman" w:hAnsi="Times New Roman" w:cs="Times New Roman"/>
          <w:color w:val="auto"/>
          <w:sz w:val="32"/>
          <w:szCs w:val="32"/>
          <w:u w:val="none"/>
          <w:lang w:eastAsia="zh-CN"/>
        </w:rPr>
        <w:t>学校应建立食材供货者评价和退出机制</w:t>
      </w:r>
      <w:r>
        <w:rPr>
          <w:rFonts w:hint="default" w:ascii="Times New Roman" w:hAnsi="Times New Roman" w:cs="Times New Roman"/>
          <w:color w:val="auto"/>
          <w:sz w:val="32"/>
          <w:szCs w:val="32"/>
          <w:u w:val="none"/>
        </w:rPr>
        <w:t>，自行或委托</w:t>
      </w:r>
      <w:r>
        <w:rPr>
          <w:rFonts w:hint="eastAsia" w:ascii="Times New Roman" w:hAnsi="Times New Roman" w:cs="Times New Roman"/>
          <w:color w:val="auto"/>
          <w:sz w:val="32"/>
          <w:szCs w:val="32"/>
          <w:u w:val="none"/>
          <w:lang w:eastAsia="zh-CN"/>
        </w:rPr>
        <w:t>具备资质的</w:t>
      </w:r>
      <w:r>
        <w:rPr>
          <w:rFonts w:hint="default" w:ascii="Times New Roman" w:hAnsi="Times New Roman" w:cs="Times New Roman"/>
          <w:color w:val="auto"/>
          <w:sz w:val="32"/>
          <w:szCs w:val="32"/>
          <w:u w:val="none"/>
        </w:rPr>
        <w:t>第三方机构</w:t>
      </w:r>
      <w:r>
        <w:rPr>
          <w:rFonts w:hint="eastAsia" w:ascii="Times New Roman" w:hAnsi="Times New Roman" w:cs="Times New Roman"/>
          <w:color w:val="auto"/>
          <w:sz w:val="32"/>
          <w:szCs w:val="32"/>
          <w:u w:val="none"/>
          <w:lang w:eastAsia="zh-CN"/>
        </w:rPr>
        <w:t>定期</w:t>
      </w:r>
      <w:r>
        <w:rPr>
          <w:rFonts w:hint="default" w:ascii="Times New Roman" w:hAnsi="Times New Roman" w:cs="Times New Roman"/>
          <w:color w:val="auto"/>
          <w:sz w:val="32"/>
          <w:szCs w:val="32"/>
          <w:u w:val="none"/>
        </w:rPr>
        <w:t>对供货者的食品安全状况等进行评价，及时更换不符合要求的供货者。</w:t>
      </w:r>
    </w:p>
    <w:p>
      <w:pPr>
        <w:pStyle w:val="12"/>
        <w:keepNext w:val="0"/>
        <w:keepLines w:val="0"/>
        <w:pageBreakBefore w:val="0"/>
        <w:widowControl w:val="0"/>
        <w:numPr>
          <w:ilvl w:val="0"/>
          <w:numId w:val="15"/>
        </w:numPr>
        <w:kinsoku/>
        <w:wordWrap/>
        <w:overflowPunct/>
        <w:topLinePunct w:val="0"/>
        <w:autoSpaceDE/>
        <w:autoSpaceDN/>
        <w:bidi w:val="0"/>
        <w:adjustRightInd/>
        <w:spacing w:line="560" w:lineRule="exact"/>
        <w:jc w:val="both"/>
        <w:textAlignment w:val="auto"/>
        <w:outlineLvl w:val="2"/>
        <w:rPr>
          <w:rFonts w:hint="default" w:ascii="Times New Roman" w:hAnsi="Times New Roman" w:eastAsia="楷体_GB2312" w:cs="Times New Roman"/>
          <w:color w:val="auto"/>
          <w:sz w:val="32"/>
          <w:szCs w:val="32"/>
          <w:u w:val="none"/>
          <w:lang w:val="en-US" w:eastAsia="zh-CN"/>
        </w:rPr>
      </w:pPr>
      <w:bookmarkStart w:id="105" w:name="_Toc1372917635"/>
      <w:bookmarkStart w:id="106" w:name="_Toc499273095"/>
      <w:bookmarkStart w:id="107" w:name="_Toc837823491"/>
      <w:bookmarkStart w:id="108" w:name="_Toc1371741242"/>
      <w:bookmarkStart w:id="109" w:name="_Toc17687"/>
      <w:bookmarkStart w:id="110" w:name="_Toc1848162771"/>
      <w:r>
        <w:rPr>
          <w:rFonts w:hint="default" w:ascii="Times New Roman" w:hAnsi="Times New Roman" w:eastAsia="楷体_GB2312" w:cs="Times New Roman"/>
          <w:color w:val="auto"/>
          <w:sz w:val="32"/>
          <w:szCs w:val="32"/>
          <w:u w:val="none"/>
          <w:lang w:val="en-US" w:eastAsia="zh-CN"/>
        </w:rPr>
        <w:t>进货查验与索证索票</w:t>
      </w:r>
      <w:bookmarkEnd w:id="105"/>
      <w:bookmarkEnd w:id="106"/>
      <w:bookmarkEnd w:id="107"/>
      <w:bookmarkEnd w:id="108"/>
      <w:bookmarkEnd w:id="109"/>
      <w:bookmarkEnd w:id="110"/>
    </w:p>
    <w:p>
      <w:pPr>
        <w:keepNext w:val="0"/>
        <w:keepLines w:val="0"/>
        <w:pageBreakBefore w:val="0"/>
        <w:widowControl w:val="0"/>
        <w:numPr>
          <w:ilvl w:val="0"/>
          <w:numId w:val="17"/>
        </w:numPr>
        <w:kinsoku/>
        <w:wordWrap/>
        <w:overflowPunct/>
        <w:topLinePunct w:val="0"/>
        <w:autoSpaceDE/>
        <w:autoSpaceDN/>
        <w:bidi w:val="0"/>
        <w:adjustRightInd/>
        <w:spacing w:line="560" w:lineRule="exact"/>
        <w:jc w:val="both"/>
        <w:textAlignment w:val="auto"/>
        <w:rPr>
          <w:rFonts w:hint="eastAsia" w:ascii="仿宋_GB2312" w:hAnsi="仿宋_GB2312" w:eastAsia="仿宋_GB2312" w:cs="仿宋_GB2312"/>
          <w:color w:val="auto"/>
          <w:sz w:val="32"/>
          <w:szCs w:val="32"/>
          <w:u w:val="none"/>
          <w:lang w:val="en-US" w:eastAsia="zh-CN"/>
        </w:rPr>
      </w:pPr>
      <w:r>
        <w:rPr>
          <w:rFonts w:hint="eastAsia" w:ascii="Times New Roman" w:hAnsi="Times New Roman" w:cs="Times New Roman"/>
          <w:color w:val="auto"/>
          <w:sz w:val="32"/>
          <w:szCs w:val="32"/>
          <w:u w:val="none"/>
          <w:lang w:val="en-US" w:eastAsia="zh-CN"/>
        </w:rPr>
        <w:t>严格规范</w:t>
      </w:r>
      <w:r>
        <w:rPr>
          <w:rFonts w:hint="default" w:ascii="Times New Roman" w:hAnsi="Times New Roman" w:cs="Times New Roman"/>
          <w:color w:val="auto"/>
          <w:sz w:val="32"/>
          <w:szCs w:val="32"/>
          <w:u w:val="none"/>
          <w:lang w:val="en-US" w:eastAsia="zh-CN"/>
        </w:rPr>
        <w:t>大宗食材进货查验，建</w:t>
      </w:r>
      <w:r>
        <w:rPr>
          <w:rFonts w:hint="eastAsia" w:ascii="仿宋_GB2312" w:hAnsi="仿宋_GB2312" w:eastAsia="仿宋_GB2312" w:cs="仿宋_GB2312"/>
          <w:color w:val="auto"/>
          <w:sz w:val="32"/>
          <w:szCs w:val="32"/>
          <w:u w:val="none"/>
          <w:lang w:val="en-US" w:eastAsia="zh-CN"/>
        </w:rPr>
        <w:t>立“双人</w:t>
      </w:r>
      <w:r>
        <w:rPr>
          <w:rFonts w:hint="eastAsia" w:ascii="仿宋_GB2312" w:hAnsi="仿宋_GB2312" w:cs="仿宋_GB2312"/>
          <w:color w:val="auto"/>
          <w:sz w:val="32"/>
          <w:szCs w:val="32"/>
          <w:u w:val="none"/>
          <w:lang w:val="en-US" w:eastAsia="zh-CN"/>
        </w:rPr>
        <w:t>或多人</w:t>
      </w:r>
      <w:r>
        <w:rPr>
          <w:rFonts w:hint="eastAsia" w:ascii="仿宋_GB2312" w:hAnsi="仿宋_GB2312" w:eastAsia="仿宋_GB2312" w:cs="仿宋_GB2312"/>
          <w:color w:val="auto"/>
          <w:sz w:val="32"/>
          <w:szCs w:val="32"/>
          <w:u w:val="none"/>
          <w:lang w:val="en-US" w:eastAsia="zh-CN"/>
        </w:rPr>
        <w:t>联检”查验制度，</w:t>
      </w:r>
      <w:r>
        <w:rPr>
          <w:rFonts w:hint="eastAsia" w:ascii="Times New Roman" w:hAnsi="Times New Roman" w:cs="Times New Roman"/>
          <w:color w:val="auto"/>
          <w:sz w:val="32"/>
          <w:szCs w:val="32"/>
          <w:u w:val="none"/>
          <w:lang w:val="en-US" w:eastAsia="zh-CN"/>
        </w:rPr>
        <w:t>查验人员至少包含学校食品安全员和食堂管理人员，集体验收，</w:t>
      </w:r>
      <w:r>
        <w:rPr>
          <w:rFonts w:hint="eastAsia" w:ascii="仿宋_GB2312" w:hAnsi="仿宋_GB2312" w:cs="仿宋_GB2312"/>
          <w:color w:val="auto"/>
          <w:sz w:val="32"/>
          <w:szCs w:val="32"/>
          <w:u w:val="none"/>
          <w:lang w:val="en-US" w:eastAsia="zh-CN"/>
        </w:rPr>
        <w:t>公开透明，有条件的学校应保留影像资料，清晰详实</w:t>
      </w:r>
      <w:r>
        <w:rPr>
          <w:rFonts w:hint="eastAsia" w:ascii="仿宋_GB2312" w:hAnsi="仿宋_GB2312" w:eastAsia="仿宋_GB2312" w:cs="仿宋_GB2312"/>
          <w:color w:val="auto"/>
          <w:sz w:val="32"/>
          <w:szCs w:val="32"/>
          <w:u w:val="none"/>
          <w:lang w:val="en-US" w:eastAsia="zh-CN"/>
        </w:rPr>
        <w:t>记录进货查验情况。</w:t>
      </w:r>
    </w:p>
    <w:p>
      <w:pPr>
        <w:keepNext w:val="0"/>
        <w:keepLines w:val="0"/>
        <w:pageBreakBefore w:val="0"/>
        <w:widowControl w:val="0"/>
        <w:numPr>
          <w:ilvl w:val="0"/>
          <w:numId w:val="17"/>
        </w:numPr>
        <w:kinsoku/>
        <w:wordWrap/>
        <w:overflowPunct/>
        <w:topLinePunct w:val="0"/>
        <w:autoSpaceDE/>
        <w:autoSpaceDN/>
        <w:bidi w:val="0"/>
        <w:adjustRightInd/>
        <w:spacing w:line="560" w:lineRule="exact"/>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cs="仿宋_GB2312"/>
          <w:color w:val="auto"/>
          <w:sz w:val="32"/>
          <w:szCs w:val="32"/>
          <w:u w:val="none"/>
          <w:lang w:val="en-US" w:eastAsia="zh-CN"/>
        </w:rPr>
        <w:t>食材进校验收应综合运用“望、闻、问、切”等多种方式，核对重量，核对生产日期和保质期，重点核查以下事项，核对包装完整性，核对食材一致性；查看食材色泽、形态；确认食材是否有异味。</w:t>
      </w:r>
    </w:p>
    <w:p>
      <w:pPr>
        <w:keepNext w:val="0"/>
        <w:keepLines w:val="0"/>
        <w:pageBreakBefore w:val="0"/>
        <w:widowControl w:val="0"/>
        <w:numPr>
          <w:ilvl w:val="0"/>
          <w:numId w:val="17"/>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采购原材料应索取产品合格证以及同批次检验（测）报告。采购畜禽肉类</w:t>
      </w:r>
      <w:r>
        <w:rPr>
          <w:rFonts w:hint="eastAsia" w:ascii="Times New Roman" w:hAnsi="Times New Roman" w:cs="Times New Roman"/>
          <w:color w:val="auto"/>
          <w:sz w:val="32"/>
          <w:szCs w:val="32"/>
          <w:u w:val="none"/>
          <w:lang w:val="en-US" w:eastAsia="zh-CN"/>
        </w:rPr>
        <w:t>时</w:t>
      </w:r>
      <w:r>
        <w:rPr>
          <w:rFonts w:hint="default" w:ascii="Times New Roman" w:hAnsi="Times New Roman" w:cs="Times New Roman"/>
          <w:color w:val="auto"/>
          <w:sz w:val="32"/>
          <w:szCs w:val="32"/>
          <w:u w:val="none"/>
          <w:lang w:val="en-US" w:eastAsia="zh-CN"/>
        </w:rPr>
        <w:t>，</w:t>
      </w:r>
      <w:r>
        <w:rPr>
          <w:rFonts w:hint="eastAsia" w:ascii="Times New Roman" w:hAnsi="Times New Roman" w:cs="Times New Roman"/>
          <w:color w:val="auto"/>
          <w:sz w:val="32"/>
          <w:szCs w:val="32"/>
          <w:u w:val="none"/>
          <w:lang w:val="en-US" w:eastAsia="zh-CN"/>
        </w:rPr>
        <w:t>需</w:t>
      </w:r>
      <w:r>
        <w:rPr>
          <w:rFonts w:hint="default" w:ascii="Times New Roman" w:hAnsi="Times New Roman" w:cs="Times New Roman"/>
          <w:color w:val="auto"/>
          <w:sz w:val="32"/>
          <w:szCs w:val="32"/>
          <w:u w:val="none"/>
          <w:lang w:val="en-US" w:eastAsia="zh-CN"/>
        </w:rPr>
        <w:t>具</w:t>
      </w:r>
      <w:r>
        <w:rPr>
          <w:rFonts w:hint="eastAsia" w:ascii="Times New Roman" w:hAnsi="Times New Roman" w:cs="Times New Roman"/>
          <w:color w:val="auto"/>
          <w:sz w:val="32"/>
          <w:szCs w:val="32"/>
          <w:u w:val="none"/>
          <w:lang w:val="en-US" w:eastAsia="zh-CN"/>
        </w:rPr>
        <w:t>备</w:t>
      </w:r>
      <w:r>
        <w:rPr>
          <w:rFonts w:hint="default" w:ascii="Times New Roman" w:hAnsi="Times New Roman" w:cs="Times New Roman"/>
          <w:color w:val="auto"/>
          <w:sz w:val="32"/>
          <w:szCs w:val="32"/>
          <w:u w:val="none"/>
          <w:lang w:val="en-US" w:eastAsia="zh-CN"/>
        </w:rPr>
        <w:t>动物产品检疫合格证明，猪肉还</w:t>
      </w:r>
      <w:r>
        <w:rPr>
          <w:rFonts w:hint="eastAsia" w:ascii="Times New Roman" w:hAnsi="Times New Roman" w:cs="Times New Roman"/>
          <w:color w:val="auto"/>
          <w:sz w:val="32"/>
          <w:szCs w:val="32"/>
          <w:u w:val="none"/>
          <w:lang w:val="en-US" w:eastAsia="zh-CN"/>
        </w:rPr>
        <w:t>需附有</w:t>
      </w:r>
      <w:r>
        <w:rPr>
          <w:rFonts w:hint="default" w:ascii="Times New Roman" w:hAnsi="Times New Roman" w:cs="Times New Roman"/>
          <w:color w:val="auto"/>
          <w:sz w:val="32"/>
          <w:szCs w:val="32"/>
          <w:u w:val="none"/>
          <w:lang w:val="en-US" w:eastAsia="zh-CN"/>
        </w:rPr>
        <w:t>非洲猪瘟检测证明、肉品品质检验合格证明</w:t>
      </w:r>
      <w:r>
        <w:rPr>
          <w:rFonts w:hint="eastAsia" w:ascii="Times New Roman" w:hAnsi="Times New Roman" w:cs="Times New Roman"/>
          <w:color w:val="auto"/>
          <w:sz w:val="32"/>
          <w:szCs w:val="32"/>
          <w:u w:val="none"/>
          <w:lang w:val="en-US" w:eastAsia="zh-CN"/>
        </w:rPr>
        <w:t>；</w:t>
      </w:r>
      <w:r>
        <w:rPr>
          <w:rFonts w:hint="default" w:ascii="Times New Roman" w:hAnsi="Times New Roman" w:cs="Times New Roman"/>
          <w:color w:val="auto"/>
          <w:sz w:val="32"/>
          <w:szCs w:val="32"/>
          <w:u w:val="none"/>
          <w:lang w:val="en-US" w:eastAsia="zh-CN"/>
        </w:rPr>
        <w:t>大米</w:t>
      </w:r>
      <w:r>
        <w:rPr>
          <w:rFonts w:hint="eastAsia" w:ascii="Times New Roman" w:hAnsi="Times New Roman" w:cs="Times New Roman"/>
          <w:color w:val="auto"/>
          <w:sz w:val="32"/>
          <w:szCs w:val="32"/>
          <w:u w:val="none"/>
          <w:lang w:val="en-US" w:eastAsia="zh-CN"/>
        </w:rPr>
        <w:t>应</w:t>
      </w:r>
      <w:r>
        <w:rPr>
          <w:rFonts w:hint="default" w:ascii="Times New Roman" w:hAnsi="Times New Roman" w:cs="Times New Roman"/>
          <w:color w:val="auto"/>
          <w:sz w:val="32"/>
          <w:szCs w:val="32"/>
          <w:u w:val="none"/>
          <w:lang w:val="en-US" w:eastAsia="zh-CN"/>
        </w:rPr>
        <w:t>具备镉、黄曲霉</w:t>
      </w:r>
      <w:r>
        <w:rPr>
          <w:rFonts w:hint="eastAsia" w:ascii="Times New Roman" w:hAnsi="Times New Roman" w:cs="Times New Roman"/>
          <w:color w:val="auto"/>
          <w:sz w:val="32"/>
          <w:szCs w:val="32"/>
          <w:u w:val="none"/>
          <w:lang w:val="en-US" w:eastAsia="zh-CN"/>
        </w:rPr>
        <w:t>毒</w:t>
      </w:r>
      <w:r>
        <w:rPr>
          <w:rFonts w:hint="default" w:ascii="Times New Roman" w:hAnsi="Times New Roman" w:cs="Times New Roman"/>
          <w:color w:val="auto"/>
          <w:sz w:val="32"/>
          <w:szCs w:val="32"/>
          <w:u w:val="none"/>
          <w:lang w:val="en-US" w:eastAsia="zh-CN"/>
        </w:rPr>
        <w:t>素等指标</w:t>
      </w:r>
      <w:r>
        <w:rPr>
          <w:rFonts w:hint="eastAsia" w:ascii="Times New Roman" w:hAnsi="Times New Roman" w:cs="Times New Roman"/>
          <w:color w:val="auto"/>
          <w:sz w:val="32"/>
          <w:szCs w:val="32"/>
          <w:u w:val="none"/>
          <w:lang w:val="en-US" w:eastAsia="zh-CN"/>
        </w:rPr>
        <w:t>的</w:t>
      </w:r>
      <w:r>
        <w:rPr>
          <w:rFonts w:hint="default" w:ascii="Times New Roman" w:hAnsi="Times New Roman" w:cs="Times New Roman"/>
          <w:color w:val="auto"/>
          <w:sz w:val="32"/>
          <w:szCs w:val="32"/>
          <w:u w:val="none"/>
          <w:lang w:val="en-US" w:eastAsia="zh-CN"/>
        </w:rPr>
        <w:t>检测报告。</w:t>
      </w:r>
    </w:p>
    <w:p>
      <w:pPr>
        <w:keepNext w:val="0"/>
        <w:keepLines w:val="0"/>
        <w:pageBreakBefore w:val="0"/>
        <w:widowControl w:val="0"/>
        <w:numPr>
          <w:ilvl w:val="0"/>
          <w:numId w:val="17"/>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进货查验记录和相关凭证的保存期限不少于产品保质期满后6个月；</w:t>
      </w:r>
      <w:r>
        <w:rPr>
          <w:rFonts w:hint="eastAsia" w:ascii="Times New Roman" w:hAnsi="Times New Roman" w:cs="Times New Roman"/>
          <w:color w:val="auto"/>
          <w:sz w:val="32"/>
          <w:szCs w:val="32"/>
          <w:u w:val="none"/>
          <w:lang w:val="en-US" w:eastAsia="zh-CN"/>
        </w:rPr>
        <w:t>无</w:t>
      </w:r>
      <w:r>
        <w:rPr>
          <w:rFonts w:hint="default" w:ascii="Times New Roman" w:hAnsi="Times New Roman" w:cs="Times New Roman"/>
          <w:color w:val="auto"/>
          <w:sz w:val="32"/>
          <w:szCs w:val="32"/>
          <w:u w:val="none"/>
          <w:lang w:val="en-US" w:eastAsia="zh-CN"/>
        </w:rPr>
        <w:t>明确保质期的，保存期限不少于2年。其他各项记录保存期限宜为2年。</w:t>
      </w:r>
    </w:p>
    <w:p>
      <w:pPr>
        <w:pStyle w:val="12"/>
        <w:keepNext w:val="0"/>
        <w:keepLines w:val="0"/>
        <w:pageBreakBefore w:val="0"/>
        <w:widowControl w:val="0"/>
        <w:numPr>
          <w:ilvl w:val="0"/>
          <w:numId w:val="15"/>
        </w:numPr>
        <w:kinsoku/>
        <w:wordWrap/>
        <w:overflowPunct/>
        <w:topLinePunct w:val="0"/>
        <w:autoSpaceDE/>
        <w:autoSpaceDN/>
        <w:bidi w:val="0"/>
        <w:adjustRightInd/>
        <w:spacing w:line="560" w:lineRule="exact"/>
        <w:jc w:val="both"/>
        <w:textAlignment w:val="auto"/>
        <w:outlineLvl w:val="2"/>
        <w:rPr>
          <w:rFonts w:hint="default" w:ascii="Times New Roman" w:hAnsi="Times New Roman" w:eastAsia="楷体_GB2312" w:cs="Times New Roman"/>
          <w:color w:val="auto"/>
          <w:sz w:val="32"/>
          <w:szCs w:val="32"/>
          <w:u w:val="none"/>
          <w:lang w:val="en-US" w:eastAsia="zh-CN"/>
        </w:rPr>
      </w:pPr>
      <w:bookmarkStart w:id="111" w:name="_Toc2147141182"/>
      <w:bookmarkStart w:id="112" w:name="_Toc19201"/>
      <w:bookmarkStart w:id="113" w:name="_Toc70314403"/>
      <w:bookmarkStart w:id="114" w:name="_Toc1853356259"/>
      <w:bookmarkStart w:id="115" w:name="_Toc826688658"/>
      <w:bookmarkStart w:id="116" w:name="_Toc297519944"/>
      <w:r>
        <w:rPr>
          <w:rFonts w:hint="default" w:ascii="Times New Roman" w:hAnsi="Times New Roman" w:eastAsia="楷体_GB2312" w:cs="Times New Roman"/>
          <w:color w:val="auto"/>
          <w:sz w:val="32"/>
          <w:szCs w:val="32"/>
          <w:u w:val="none"/>
          <w:lang w:val="en-US" w:eastAsia="zh-CN"/>
        </w:rPr>
        <w:t>原料贮存</w:t>
      </w:r>
      <w:bookmarkEnd w:id="111"/>
      <w:bookmarkEnd w:id="112"/>
      <w:bookmarkEnd w:id="113"/>
      <w:bookmarkEnd w:id="114"/>
      <w:bookmarkEnd w:id="115"/>
      <w:bookmarkEnd w:id="116"/>
    </w:p>
    <w:p>
      <w:pPr>
        <w:keepNext w:val="0"/>
        <w:keepLines w:val="0"/>
        <w:pageBreakBefore w:val="0"/>
        <w:widowControl w:val="0"/>
        <w:numPr>
          <w:ilvl w:val="0"/>
          <w:numId w:val="18"/>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散装食品（食用农产品除外）</w:t>
      </w:r>
      <w:r>
        <w:rPr>
          <w:rFonts w:hint="eastAsia" w:ascii="Times New Roman" w:hAnsi="Times New Roman" w:cs="Times New Roman"/>
          <w:color w:val="auto"/>
          <w:sz w:val="32"/>
          <w:szCs w:val="32"/>
          <w:u w:val="none"/>
          <w:lang w:val="en-US" w:eastAsia="zh-CN"/>
        </w:rPr>
        <w:t>应在</w:t>
      </w:r>
      <w:r>
        <w:rPr>
          <w:rFonts w:hint="default" w:ascii="Times New Roman" w:hAnsi="Times New Roman" w:cs="Times New Roman"/>
          <w:color w:val="auto"/>
          <w:sz w:val="32"/>
          <w:szCs w:val="32"/>
          <w:u w:val="none"/>
          <w:lang w:val="en-US" w:eastAsia="zh-CN"/>
        </w:rPr>
        <w:t>贮存位置上标明食品名称、生产日期或生产批号、使用期限等</w:t>
      </w:r>
      <w:r>
        <w:rPr>
          <w:rFonts w:hint="eastAsia" w:ascii="Times New Roman" w:hAnsi="Times New Roman" w:cs="Times New Roman"/>
          <w:color w:val="auto"/>
          <w:sz w:val="32"/>
          <w:szCs w:val="32"/>
          <w:u w:val="none"/>
          <w:lang w:val="en-US" w:eastAsia="zh-CN"/>
        </w:rPr>
        <w:t>信息</w:t>
      </w:r>
      <w:r>
        <w:rPr>
          <w:rFonts w:hint="default" w:ascii="Times New Roman" w:hAnsi="Times New Roman" w:cs="Times New Roman"/>
          <w:color w:val="auto"/>
          <w:sz w:val="32"/>
          <w:szCs w:val="32"/>
          <w:u w:val="none"/>
          <w:lang w:val="en-US" w:eastAsia="zh-CN"/>
        </w:rPr>
        <w:t>。宜使用密闭容器贮存。</w:t>
      </w:r>
    </w:p>
    <w:p>
      <w:pPr>
        <w:keepNext w:val="0"/>
        <w:keepLines w:val="0"/>
        <w:pageBreakBefore w:val="0"/>
        <w:widowControl w:val="0"/>
        <w:numPr>
          <w:ilvl w:val="0"/>
          <w:numId w:val="18"/>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同一库房内贮存不同类别食品和非食品（如食品包装材料等），应分设存放区域，不同区域有明显的区分标识。</w:t>
      </w:r>
    </w:p>
    <w:p>
      <w:pPr>
        <w:keepNext w:val="0"/>
        <w:keepLines w:val="0"/>
        <w:pageBreakBefore w:val="0"/>
        <w:widowControl w:val="0"/>
        <w:numPr>
          <w:ilvl w:val="0"/>
          <w:numId w:val="18"/>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贮存的食品和物品离墙、离地，距离墙壁</w:t>
      </w:r>
      <w:r>
        <w:rPr>
          <w:rFonts w:hint="eastAsia" w:ascii="Times New Roman" w:hAnsi="Times New Roman" w:cs="Times New Roman"/>
          <w:color w:val="auto"/>
          <w:sz w:val="32"/>
          <w:szCs w:val="32"/>
          <w:u w:val="none"/>
          <w:lang w:val="en-US" w:eastAsia="zh-CN"/>
        </w:rPr>
        <w:t>和</w:t>
      </w:r>
      <w:r>
        <w:rPr>
          <w:rFonts w:hint="default" w:ascii="Times New Roman" w:hAnsi="Times New Roman" w:cs="Times New Roman"/>
          <w:color w:val="auto"/>
          <w:sz w:val="32"/>
          <w:szCs w:val="32"/>
          <w:u w:val="none"/>
          <w:lang w:val="en-US" w:eastAsia="zh-CN"/>
        </w:rPr>
        <w:t>地面</w:t>
      </w:r>
      <w:r>
        <w:rPr>
          <w:rFonts w:hint="eastAsia" w:ascii="Times New Roman" w:hAnsi="Times New Roman" w:cs="Times New Roman"/>
          <w:color w:val="auto"/>
          <w:sz w:val="32"/>
          <w:szCs w:val="32"/>
          <w:u w:val="none"/>
          <w:lang w:val="en-US" w:eastAsia="zh-CN"/>
        </w:rPr>
        <w:t>均应</w:t>
      </w:r>
      <w:r>
        <w:rPr>
          <w:rFonts w:hint="default" w:ascii="Times New Roman" w:hAnsi="Times New Roman" w:cs="Times New Roman"/>
          <w:color w:val="auto"/>
          <w:sz w:val="32"/>
          <w:szCs w:val="32"/>
          <w:u w:val="none"/>
          <w:lang w:val="en-US" w:eastAsia="zh-CN"/>
        </w:rPr>
        <w:t>在10cm以上。</w:t>
      </w:r>
    </w:p>
    <w:p>
      <w:pPr>
        <w:keepNext w:val="0"/>
        <w:keepLines w:val="0"/>
        <w:pageBreakBefore w:val="0"/>
        <w:widowControl w:val="0"/>
        <w:numPr>
          <w:ilvl w:val="0"/>
          <w:numId w:val="18"/>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冷冻贮存食品前宜分割食品，避免使用时反复解冻、冷冻。冷冻（藏）贮存食品时不宜堆积、挤压食品</w:t>
      </w:r>
      <w:r>
        <w:rPr>
          <w:rFonts w:hint="eastAsia" w:ascii="Times New Roman" w:hAnsi="Times New Roman" w:cs="Times New Roman"/>
          <w:color w:val="auto"/>
          <w:sz w:val="32"/>
          <w:szCs w:val="32"/>
          <w:u w:val="none"/>
          <w:lang w:val="en-US" w:eastAsia="zh-CN"/>
        </w:rPr>
        <w:t>。</w:t>
      </w:r>
    </w:p>
    <w:p>
      <w:pPr>
        <w:pStyle w:val="12"/>
        <w:keepNext w:val="0"/>
        <w:keepLines w:val="0"/>
        <w:pageBreakBefore w:val="0"/>
        <w:widowControl w:val="0"/>
        <w:numPr>
          <w:ilvl w:val="0"/>
          <w:numId w:val="15"/>
        </w:numPr>
        <w:kinsoku/>
        <w:wordWrap/>
        <w:overflowPunct/>
        <w:topLinePunct w:val="0"/>
        <w:autoSpaceDE/>
        <w:autoSpaceDN/>
        <w:bidi w:val="0"/>
        <w:adjustRightInd/>
        <w:spacing w:line="560" w:lineRule="exact"/>
        <w:jc w:val="both"/>
        <w:textAlignment w:val="auto"/>
        <w:outlineLvl w:val="2"/>
        <w:rPr>
          <w:rFonts w:hint="default" w:ascii="Times New Roman" w:hAnsi="Times New Roman" w:eastAsia="楷体_GB2312" w:cs="Times New Roman"/>
          <w:color w:val="auto"/>
          <w:sz w:val="32"/>
          <w:szCs w:val="32"/>
          <w:u w:val="none"/>
          <w:lang w:val="en-US" w:eastAsia="zh-CN"/>
        </w:rPr>
      </w:pPr>
      <w:bookmarkStart w:id="117" w:name="_Toc1115205626"/>
      <w:bookmarkStart w:id="118" w:name="_Toc653582813"/>
      <w:bookmarkStart w:id="119" w:name="_Toc825915065"/>
      <w:bookmarkStart w:id="120" w:name="_Toc182525329"/>
      <w:bookmarkStart w:id="121" w:name="_Toc1429004166"/>
      <w:bookmarkStart w:id="122" w:name="_Toc1761"/>
      <w:r>
        <w:rPr>
          <w:rFonts w:hint="default" w:ascii="Times New Roman" w:hAnsi="Times New Roman" w:eastAsia="楷体_GB2312" w:cs="Times New Roman"/>
          <w:color w:val="auto"/>
          <w:sz w:val="32"/>
          <w:szCs w:val="32"/>
          <w:u w:val="none"/>
          <w:lang w:val="en-US" w:eastAsia="zh-CN"/>
        </w:rPr>
        <w:t>加工制作</w:t>
      </w:r>
      <w:bookmarkEnd w:id="117"/>
      <w:bookmarkEnd w:id="118"/>
      <w:bookmarkEnd w:id="119"/>
      <w:bookmarkEnd w:id="120"/>
      <w:bookmarkEnd w:id="121"/>
      <w:bookmarkEnd w:id="122"/>
    </w:p>
    <w:p>
      <w:pPr>
        <w:keepNext w:val="0"/>
        <w:keepLines w:val="0"/>
        <w:pageBreakBefore w:val="0"/>
        <w:widowControl w:val="0"/>
        <w:numPr>
          <w:ilvl w:val="0"/>
          <w:numId w:val="19"/>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学校食堂不得制售冷荤类食品、生食类食品、裱花蛋糕，</w:t>
      </w:r>
      <w:r>
        <w:rPr>
          <w:rFonts w:hint="eastAsia" w:ascii="Times New Roman" w:hAnsi="Times New Roman" w:cs="Times New Roman"/>
          <w:color w:val="auto"/>
          <w:sz w:val="32"/>
          <w:szCs w:val="32"/>
          <w:u w:val="none"/>
          <w:lang w:val="en-US" w:eastAsia="zh-CN"/>
        </w:rPr>
        <w:t>不得</w:t>
      </w:r>
      <w:r>
        <w:rPr>
          <w:rFonts w:hint="default" w:ascii="Times New Roman" w:hAnsi="Times New Roman" w:cs="Times New Roman"/>
          <w:color w:val="auto"/>
          <w:sz w:val="32"/>
          <w:szCs w:val="32"/>
          <w:u w:val="none"/>
          <w:lang w:val="en-US" w:eastAsia="zh-CN"/>
        </w:rPr>
        <w:t>加工四季豆、鲜黄花菜、野生蘑菇、发芽土豆等高风险食品。</w:t>
      </w:r>
    </w:p>
    <w:p>
      <w:pPr>
        <w:keepNext w:val="0"/>
        <w:keepLines w:val="0"/>
        <w:pageBreakBefore w:val="0"/>
        <w:widowControl w:val="0"/>
        <w:numPr>
          <w:ilvl w:val="0"/>
          <w:numId w:val="19"/>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动物性、植物性、水产品等食品原料的工用具和容器</w:t>
      </w:r>
      <w:r>
        <w:rPr>
          <w:rFonts w:hint="eastAsia" w:ascii="Times New Roman" w:hAnsi="Times New Roman" w:cs="Times New Roman"/>
          <w:color w:val="auto"/>
          <w:sz w:val="32"/>
          <w:szCs w:val="32"/>
          <w:u w:val="none"/>
          <w:lang w:val="en-US" w:eastAsia="zh-CN"/>
        </w:rPr>
        <w:t>应</w:t>
      </w:r>
      <w:r>
        <w:rPr>
          <w:rFonts w:hint="default" w:ascii="Times New Roman" w:hAnsi="Times New Roman" w:cs="Times New Roman"/>
          <w:color w:val="auto"/>
          <w:sz w:val="32"/>
          <w:szCs w:val="32"/>
          <w:u w:val="none"/>
          <w:lang w:val="en-US" w:eastAsia="zh-CN"/>
        </w:rPr>
        <w:t>分开使用</w:t>
      </w:r>
      <w:r>
        <w:rPr>
          <w:rFonts w:hint="eastAsia" w:ascii="Times New Roman" w:hAnsi="Times New Roman" w:cs="Times New Roman"/>
          <w:color w:val="auto"/>
          <w:sz w:val="32"/>
          <w:szCs w:val="32"/>
          <w:u w:val="none"/>
          <w:lang w:val="en-US" w:eastAsia="zh-CN"/>
        </w:rPr>
        <w:t>，</w:t>
      </w:r>
      <w:r>
        <w:rPr>
          <w:rFonts w:hint="default" w:ascii="Times New Roman" w:hAnsi="Times New Roman" w:cs="Times New Roman"/>
          <w:color w:val="auto"/>
          <w:sz w:val="32"/>
          <w:szCs w:val="32"/>
          <w:u w:val="none"/>
          <w:lang w:val="en-US" w:eastAsia="zh-CN"/>
        </w:rPr>
        <w:t>并有明显区分标识。</w:t>
      </w:r>
    </w:p>
    <w:p>
      <w:pPr>
        <w:keepNext w:val="0"/>
        <w:keepLines w:val="0"/>
        <w:pageBreakBefore w:val="0"/>
        <w:widowControl w:val="0"/>
        <w:numPr>
          <w:ilvl w:val="0"/>
          <w:numId w:val="19"/>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用于原料、半成品、成品的工用具</w:t>
      </w:r>
      <w:r>
        <w:rPr>
          <w:rFonts w:hint="eastAsia" w:ascii="Times New Roman" w:hAnsi="Times New Roman" w:cs="Times New Roman"/>
          <w:color w:val="auto"/>
          <w:sz w:val="32"/>
          <w:szCs w:val="32"/>
          <w:u w:val="none"/>
          <w:lang w:val="en-US" w:eastAsia="zh-CN"/>
        </w:rPr>
        <w:t>和</w:t>
      </w:r>
      <w:r>
        <w:rPr>
          <w:rFonts w:hint="default" w:ascii="Times New Roman" w:hAnsi="Times New Roman" w:cs="Times New Roman"/>
          <w:color w:val="auto"/>
          <w:sz w:val="32"/>
          <w:szCs w:val="32"/>
          <w:u w:val="none"/>
          <w:lang w:val="en-US" w:eastAsia="zh-CN"/>
        </w:rPr>
        <w:t>容器应分开使用，荤素、生熟应严格区分，并有明显区分标识。</w:t>
      </w:r>
    </w:p>
    <w:p>
      <w:pPr>
        <w:keepNext w:val="0"/>
        <w:keepLines w:val="0"/>
        <w:pageBreakBefore w:val="0"/>
        <w:widowControl w:val="0"/>
        <w:numPr>
          <w:ilvl w:val="0"/>
          <w:numId w:val="19"/>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专间和专用操作区使用的食品容器、工具、设备和清洁工具应专用。</w:t>
      </w:r>
    </w:p>
    <w:p>
      <w:pPr>
        <w:keepNext w:val="0"/>
        <w:keepLines w:val="0"/>
        <w:pageBreakBefore w:val="0"/>
        <w:widowControl w:val="0"/>
        <w:numPr>
          <w:ilvl w:val="0"/>
          <w:numId w:val="19"/>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生食蔬菜和水果应在专用区域或设施内清洗处理，必要时</w:t>
      </w:r>
      <w:r>
        <w:rPr>
          <w:rFonts w:hint="eastAsia" w:ascii="Times New Roman" w:hAnsi="Times New Roman" w:cs="Times New Roman"/>
          <w:color w:val="auto"/>
          <w:sz w:val="32"/>
          <w:szCs w:val="32"/>
          <w:u w:val="none"/>
          <w:lang w:val="en-US" w:eastAsia="zh-CN"/>
        </w:rPr>
        <w:t>进行</w:t>
      </w:r>
      <w:r>
        <w:rPr>
          <w:rFonts w:hint="default" w:ascii="Times New Roman" w:hAnsi="Times New Roman" w:cs="Times New Roman"/>
          <w:color w:val="auto"/>
          <w:sz w:val="32"/>
          <w:szCs w:val="32"/>
          <w:u w:val="none"/>
          <w:lang w:val="en-US" w:eastAsia="zh-CN"/>
        </w:rPr>
        <w:t>消毒。</w:t>
      </w:r>
    </w:p>
    <w:p>
      <w:pPr>
        <w:keepNext w:val="0"/>
        <w:keepLines w:val="0"/>
        <w:pageBreakBefore w:val="0"/>
        <w:widowControl w:val="0"/>
        <w:numPr>
          <w:ilvl w:val="0"/>
          <w:numId w:val="19"/>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未经清洁的禽蛋使用前应清洁外壳，必要时</w:t>
      </w:r>
      <w:r>
        <w:rPr>
          <w:rFonts w:hint="eastAsia" w:ascii="Times New Roman" w:hAnsi="Times New Roman" w:cs="Times New Roman"/>
          <w:color w:val="auto"/>
          <w:sz w:val="32"/>
          <w:szCs w:val="32"/>
          <w:u w:val="none"/>
          <w:lang w:val="en-US" w:eastAsia="zh-CN"/>
        </w:rPr>
        <w:t>进行</w:t>
      </w:r>
      <w:r>
        <w:rPr>
          <w:rFonts w:hint="default" w:ascii="Times New Roman" w:hAnsi="Times New Roman" w:cs="Times New Roman"/>
          <w:color w:val="auto"/>
          <w:sz w:val="32"/>
          <w:szCs w:val="32"/>
          <w:u w:val="none"/>
          <w:lang w:val="en-US" w:eastAsia="zh-CN"/>
        </w:rPr>
        <w:t>消毒。</w:t>
      </w:r>
    </w:p>
    <w:p>
      <w:pPr>
        <w:keepNext w:val="0"/>
        <w:keepLines w:val="0"/>
        <w:pageBreakBefore w:val="0"/>
        <w:widowControl w:val="0"/>
        <w:numPr>
          <w:ilvl w:val="0"/>
          <w:numId w:val="19"/>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食堂内不得饲养和宰杀禽、畜等动物。</w:t>
      </w:r>
    </w:p>
    <w:p>
      <w:pPr>
        <w:pStyle w:val="12"/>
        <w:keepNext w:val="0"/>
        <w:keepLines w:val="0"/>
        <w:pageBreakBefore w:val="0"/>
        <w:widowControl w:val="0"/>
        <w:numPr>
          <w:ilvl w:val="0"/>
          <w:numId w:val="15"/>
        </w:numPr>
        <w:kinsoku/>
        <w:wordWrap/>
        <w:overflowPunct/>
        <w:topLinePunct w:val="0"/>
        <w:autoSpaceDE/>
        <w:autoSpaceDN/>
        <w:bidi w:val="0"/>
        <w:adjustRightInd/>
        <w:spacing w:line="560" w:lineRule="exact"/>
        <w:jc w:val="both"/>
        <w:textAlignment w:val="auto"/>
        <w:outlineLvl w:val="2"/>
        <w:rPr>
          <w:rFonts w:hint="default" w:ascii="Times New Roman" w:hAnsi="Times New Roman" w:eastAsia="楷体_GB2312" w:cs="Times New Roman"/>
          <w:color w:val="auto"/>
          <w:sz w:val="32"/>
          <w:szCs w:val="32"/>
          <w:u w:val="none"/>
          <w:lang w:val="en-US" w:eastAsia="zh-CN"/>
        </w:rPr>
      </w:pPr>
      <w:bookmarkStart w:id="123" w:name="_Toc448342965"/>
      <w:bookmarkStart w:id="124" w:name="_Toc901850217"/>
      <w:bookmarkStart w:id="125" w:name="_Toc336676277"/>
      <w:bookmarkStart w:id="126" w:name="_Toc859022545"/>
      <w:bookmarkStart w:id="127" w:name="_Toc13787"/>
      <w:bookmarkStart w:id="128" w:name="_Toc2021610059"/>
      <w:r>
        <w:rPr>
          <w:rFonts w:hint="default" w:ascii="Times New Roman" w:hAnsi="Times New Roman" w:eastAsia="楷体_GB2312" w:cs="Times New Roman"/>
          <w:color w:val="auto"/>
          <w:sz w:val="32"/>
          <w:szCs w:val="32"/>
          <w:u w:val="none"/>
          <w:lang w:val="en-US" w:eastAsia="zh-CN"/>
        </w:rPr>
        <w:t>原料及成品配送</w:t>
      </w:r>
      <w:bookmarkEnd w:id="123"/>
      <w:bookmarkEnd w:id="124"/>
      <w:bookmarkEnd w:id="125"/>
      <w:bookmarkEnd w:id="126"/>
      <w:bookmarkEnd w:id="127"/>
      <w:bookmarkEnd w:id="128"/>
    </w:p>
    <w:p>
      <w:pPr>
        <w:keepNext w:val="0"/>
        <w:keepLines w:val="0"/>
        <w:pageBreakBefore w:val="0"/>
        <w:widowControl w:val="0"/>
        <w:numPr>
          <w:ilvl w:val="0"/>
          <w:numId w:val="20"/>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不得将食品与有毒有害物品混装配送，运输食品和运输有毒有害物品的车辆不得混用。</w:t>
      </w:r>
    </w:p>
    <w:p>
      <w:pPr>
        <w:keepNext w:val="0"/>
        <w:keepLines w:val="0"/>
        <w:pageBreakBefore w:val="0"/>
        <w:widowControl w:val="0"/>
        <w:numPr>
          <w:ilvl w:val="0"/>
          <w:numId w:val="20"/>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食品配送车辆专用，配备符合条件</w:t>
      </w:r>
      <w:r>
        <w:rPr>
          <w:rFonts w:hint="eastAsia" w:ascii="Times New Roman" w:hAnsi="Times New Roman" w:cs="Times New Roman"/>
          <w:color w:val="auto"/>
          <w:sz w:val="32"/>
          <w:szCs w:val="32"/>
          <w:u w:val="none"/>
          <w:lang w:val="en-US" w:eastAsia="zh-CN"/>
        </w:rPr>
        <w:t>的</w:t>
      </w:r>
      <w:r>
        <w:rPr>
          <w:rFonts w:hint="default" w:ascii="Times New Roman" w:hAnsi="Times New Roman" w:cs="Times New Roman"/>
          <w:color w:val="auto"/>
          <w:sz w:val="32"/>
          <w:szCs w:val="32"/>
          <w:u w:val="none"/>
          <w:lang w:val="en-US" w:eastAsia="zh-CN"/>
        </w:rPr>
        <w:t>加热保温设备或装置，</w:t>
      </w:r>
      <w:r>
        <w:rPr>
          <w:rFonts w:hint="eastAsia" w:ascii="Times New Roman" w:hAnsi="Times New Roman" w:cs="Times New Roman"/>
          <w:color w:val="auto"/>
          <w:sz w:val="32"/>
          <w:szCs w:val="32"/>
          <w:u w:val="none"/>
          <w:lang w:val="en-US" w:eastAsia="zh-CN"/>
        </w:rPr>
        <w:t>确保热食</w:t>
      </w:r>
      <w:r>
        <w:rPr>
          <w:rFonts w:hint="default" w:ascii="Times New Roman" w:hAnsi="Times New Roman" w:cs="Times New Roman"/>
          <w:color w:val="auto"/>
          <w:sz w:val="32"/>
          <w:szCs w:val="32"/>
          <w:u w:val="none"/>
          <w:lang w:val="en-US" w:eastAsia="zh-CN"/>
        </w:rPr>
        <w:t>成品</w:t>
      </w:r>
      <w:r>
        <w:rPr>
          <w:rFonts w:hint="eastAsia" w:ascii="Times New Roman" w:hAnsi="Times New Roman" w:cs="Times New Roman"/>
          <w:color w:val="auto"/>
          <w:sz w:val="32"/>
          <w:szCs w:val="32"/>
          <w:u w:val="none"/>
          <w:lang w:val="en-US" w:eastAsia="zh-CN"/>
        </w:rPr>
        <w:t>在</w:t>
      </w:r>
      <w:r>
        <w:rPr>
          <w:rFonts w:hint="default" w:ascii="Times New Roman" w:hAnsi="Times New Roman" w:cs="Times New Roman"/>
          <w:color w:val="auto"/>
          <w:sz w:val="32"/>
          <w:szCs w:val="32"/>
          <w:u w:val="none"/>
          <w:lang w:val="en-US" w:eastAsia="zh-CN"/>
        </w:rPr>
        <w:t>运输过程中</w:t>
      </w:r>
      <w:r>
        <w:rPr>
          <w:rFonts w:hint="eastAsia" w:ascii="Times New Roman" w:hAnsi="Times New Roman" w:cs="Times New Roman"/>
          <w:color w:val="auto"/>
          <w:sz w:val="32"/>
          <w:szCs w:val="32"/>
          <w:u w:val="none"/>
          <w:lang w:val="en-US" w:eastAsia="zh-CN"/>
        </w:rPr>
        <w:t>的</w:t>
      </w:r>
      <w:r>
        <w:rPr>
          <w:rFonts w:hint="default" w:ascii="Times New Roman" w:hAnsi="Times New Roman" w:cs="Times New Roman"/>
          <w:color w:val="auto"/>
          <w:sz w:val="32"/>
          <w:szCs w:val="32"/>
          <w:u w:val="none"/>
          <w:lang w:val="en-US" w:eastAsia="zh-CN"/>
        </w:rPr>
        <w:t>保存温度保持60</w:t>
      </w:r>
      <w:r>
        <w:rPr>
          <w:rFonts w:hint="default" w:ascii="Times New Roman Regular" w:hAnsi="Times New Roman Regular" w:eastAsia="仿宋_GB2312" w:cs="Times New Roman Regular"/>
          <w:color w:val="auto"/>
          <w:sz w:val="32"/>
          <w:szCs w:val="32"/>
          <w:u w:val="none"/>
          <w:lang w:val="en-US" w:eastAsia="zh-CN"/>
        </w:rPr>
        <w:t>℃</w:t>
      </w:r>
      <w:r>
        <w:rPr>
          <w:rFonts w:hint="default" w:ascii="Times New Roman" w:hAnsi="Times New Roman" w:cs="Times New Roman"/>
          <w:color w:val="auto"/>
          <w:sz w:val="32"/>
          <w:szCs w:val="32"/>
          <w:u w:val="none"/>
          <w:lang w:val="en-US" w:eastAsia="zh-CN"/>
        </w:rPr>
        <w:t>以上。</w:t>
      </w:r>
    </w:p>
    <w:p>
      <w:pPr>
        <w:keepNext w:val="0"/>
        <w:keepLines w:val="0"/>
        <w:pageBreakBefore w:val="0"/>
        <w:widowControl w:val="0"/>
        <w:numPr>
          <w:ilvl w:val="0"/>
          <w:numId w:val="20"/>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配送人员应具备有效健康证明。</w:t>
      </w:r>
    </w:p>
    <w:p>
      <w:pPr>
        <w:keepNext w:val="0"/>
        <w:keepLines w:val="0"/>
        <w:pageBreakBefore w:val="0"/>
        <w:widowControl w:val="0"/>
        <w:numPr>
          <w:ilvl w:val="0"/>
          <w:numId w:val="20"/>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应保持运输车辆的清洁，每次运输食品前和运输食品后应进行清洗消毒。</w:t>
      </w:r>
    </w:p>
    <w:p>
      <w:pPr>
        <w:pStyle w:val="12"/>
        <w:keepNext w:val="0"/>
        <w:keepLines w:val="0"/>
        <w:pageBreakBefore w:val="0"/>
        <w:widowControl w:val="0"/>
        <w:numPr>
          <w:ilvl w:val="0"/>
          <w:numId w:val="15"/>
        </w:numPr>
        <w:kinsoku/>
        <w:wordWrap/>
        <w:overflowPunct/>
        <w:topLinePunct w:val="0"/>
        <w:autoSpaceDE/>
        <w:autoSpaceDN/>
        <w:bidi w:val="0"/>
        <w:adjustRightInd/>
        <w:spacing w:line="560" w:lineRule="exact"/>
        <w:jc w:val="both"/>
        <w:textAlignment w:val="auto"/>
        <w:outlineLvl w:val="2"/>
        <w:rPr>
          <w:rFonts w:hint="default" w:ascii="Times New Roman" w:hAnsi="Times New Roman" w:eastAsia="楷体_GB2312" w:cs="Times New Roman"/>
          <w:color w:val="auto"/>
          <w:sz w:val="32"/>
          <w:szCs w:val="32"/>
          <w:u w:val="none"/>
          <w:lang w:val="en-US" w:eastAsia="zh-CN"/>
        </w:rPr>
      </w:pPr>
      <w:bookmarkStart w:id="129" w:name="_Toc1934212473"/>
      <w:bookmarkStart w:id="130" w:name="_Toc217610249"/>
      <w:bookmarkStart w:id="131" w:name="_Toc628770806"/>
      <w:bookmarkStart w:id="132" w:name="_Toc24267"/>
      <w:bookmarkStart w:id="133" w:name="_Toc590468474"/>
      <w:bookmarkStart w:id="134" w:name="_Toc1710611755"/>
      <w:r>
        <w:rPr>
          <w:rFonts w:hint="default" w:ascii="Times New Roman" w:hAnsi="Times New Roman" w:eastAsia="楷体_GB2312" w:cs="Times New Roman"/>
          <w:color w:val="auto"/>
          <w:sz w:val="32"/>
          <w:szCs w:val="32"/>
          <w:u w:val="none"/>
          <w:lang w:val="en-US" w:eastAsia="zh-CN"/>
        </w:rPr>
        <w:t>人员管理</w:t>
      </w:r>
      <w:bookmarkEnd w:id="129"/>
      <w:bookmarkEnd w:id="130"/>
      <w:bookmarkEnd w:id="131"/>
      <w:bookmarkEnd w:id="132"/>
      <w:bookmarkEnd w:id="133"/>
      <w:bookmarkEnd w:id="134"/>
    </w:p>
    <w:p>
      <w:pPr>
        <w:keepNext w:val="0"/>
        <w:keepLines w:val="0"/>
        <w:pageBreakBefore w:val="0"/>
        <w:widowControl w:val="0"/>
        <w:numPr>
          <w:ilvl w:val="0"/>
          <w:numId w:val="21"/>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食堂配备专兼职食品安全管理人员，用餐人数500人以上的食堂应配备食品安全总监。</w:t>
      </w:r>
    </w:p>
    <w:p>
      <w:pPr>
        <w:keepNext w:val="0"/>
        <w:keepLines w:val="0"/>
        <w:pageBreakBefore w:val="0"/>
        <w:widowControl w:val="0"/>
        <w:numPr>
          <w:ilvl w:val="0"/>
          <w:numId w:val="21"/>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从事接触直接入口食品工作的食堂从业人员（含临时聘用人员）应取得有效健康证明。</w:t>
      </w:r>
    </w:p>
    <w:p>
      <w:pPr>
        <w:keepNext w:val="0"/>
        <w:keepLines w:val="0"/>
        <w:pageBreakBefore w:val="0"/>
        <w:widowControl w:val="0"/>
        <w:numPr>
          <w:ilvl w:val="0"/>
          <w:numId w:val="21"/>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eastAsia" w:ascii="Times New Roman" w:hAnsi="Times New Roman" w:cs="Times New Roman"/>
          <w:color w:val="auto"/>
          <w:sz w:val="32"/>
          <w:szCs w:val="32"/>
          <w:u w:val="none"/>
          <w:lang w:val="en-US" w:eastAsia="zh-CN"/>
        </w:rPr>
        <w:t>定期</w:t>
      </w:r>
      <w:r>
        <w:rPr>
          <w:rFonts w:hint="default" w:ascii="Times New Roman" w:hAnsi="Times New Roman" w:cs="Times New Roman"/>
          <w:color w:val="auto"/>
          <w:sz w:val="32"/>
          <w:szCs w:val="32"/>
          <w:u w:val="none"/>
          <w:lang w:val="en-US" w:eastAsia="zh-CN"/>
        </w:rPr>
        <w:t>对食堂管理人员和从业人员进行食品安全业务培训，每学期进行考核。</w:t>
      </w:r>
    </w:p>
    <w:p>
      <w:pPr>
        <w:keepNext w:val="0"/>
        <w:keepLines w:val="0"/>
        <w:pageBreakBefore w:val="0"/>
        <w:widowControl w:val="0"/>
        <w:numPr>
          <w:ilvl w:val="0"/>
          <w:numId w:val="21"/>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从业人员应接受晨检。有发热、呕吐、腹泻、皮肤伤口或感染、咽部炎症等有碍食品安全病症的人员</w:t>
      </w:r>
      <w:r>
        <w:rPr>
          <w:rFonts w:hint="eastAsia" w:ascii="Times New Roman" w:hAnsi="Times New Roman" w:cs="Times New Roman"/>
          <w:color w:val="auto"/>
          <w:sz w:val="32"/>
          <w:szCs w:val="32"/>
          <w:u w:val="none"/>
          <w:lang w:val="en-US" w:eastAsia="zh-CN"/>
        </w:rPr>
        <w:t>，</w:t>
      </w:r>
      <w:r>
        <w:rPr>
          <w:rFonts w:hint="default" w:ascii="Times New Roman" w:hAnsi="Times New Roman" w:cs="Times New Roman"/>
          <w:color w:val="auto"/>
          <w:sz w:val="32"/>
          <w:szCs w:val="32"/>
          <w:u w:val="none"/>
          <w:lang w:val="en-US" w:eastAsia="zh-CN"/>
        </w:rPr>
        <w:t>应主动向食品安全管理人员等报告</w:t>
      </w:r>
      <w:r>
        <w:rPr>
          <w:rFonts w:hint="eastAsia" w:ascii="Times New Roman" w:hAnsi="Times New Roman" w:cs="Times New Roman"/>
          <w:color w:val="auto"/>
          <w:sz w:val="32"/>
          <w:szCs w:val="32"/>
          <w:u w:val="none"/>
          <w:lang w:val="en-US" w:eastAsia="zh-CN"/>
        </w:rPr>
        <w:t>并</w:t>
      </w:r>
      <w:r>
        <w:rPr>
          <w:rFonts w:hint="default" w:ascii="Times New Roman" w:hAnsi="Times New Roman" w:cs="Times New Roman"/>
          <w:color w:val="auto"/>
          <w:sz w:val="32"/>
          <w:szCs w:val="32"/>
          <w:u w:val="none"/>
          <w:lang w:val="en-US" w:eastAsia="zh-CN"/>
        </w:rPr>
        <w:t>暂停从事接触直接入口食品的工作，待查明原因并治愈后方可</w:t>
      </w:r>
      <w:r>
        <w:rPr>
          <w:rFonts w:hint="eastAsia" w:ascii="Times New Roman" w:hAnsi="Times New Roman" w:cs="Times New Roman"/>
          <w:color w:val="auto"/>
          <w:sz w:val="32"/>
          <w:szCs w:val="32"/>
          <w:u w:val="none"/>
          <w:lang w:val="en-US" w:eastAsia="zh-CN"/>
        </w:rPr>
        <w:t>复</w:t>
      </w:r>
      <w:r>
        <w:rPr>
          <w:rFonts w:hint="default" w:ascii="Times New Roman" w:hAnsi="Times New Roman" w:cs="Times New Roman"/>
          <w:color w:val="auto"/>
          <w:sz w:val="32"/>
          <w:szCs w:val="32"/>
          <w:u w:val="none"/>
          <w:lang w:val="en-US" w:eastAsia="zh-CN"/>
        </w:rPr>
        <w:t xml:space="preserve">岗。 </w:t>
      </w:r>
    </w:p>
    <w:p>
      <w:pPr>
        <w:keepNext w:val="0"/>
        <w:keepLines w:val="0"/>
        <w:pageBreakBefore w:val="0"/>
        <w:widowControl w:val="0"/>
        <w:numPr>
          <w:ilvl w:val="0"/>
          <w:numId w:val="21"/>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食品处理区内从业人员不得留长指甲、涂指甲油</w:t>
      </w:r>
      <w:r>
        <w:rPr>
          <w:rFonts w:hint="eastAsia" w:ascii="Times New Roman" w:hAnsi="Times New Roman" w:cs="Times New Roman"/>
          <w:color w:val="auto"/>
          <w:sz w:val="32"/>
          <w:szCs w:val="32"/>
          <w:u w:val="none"/>
          <w:lang w:val="en-US" w:eastAsia="zh-CN"/>
        </w:rPr>
        <w:t>或</w:t>
      </w:r>
      <w:r>
        <w:rPr>
          <w:rFonts w:hint="default" w:ascii="Times New Roman" w:hAnsi="Times New Roman" w:cs="Times New Roman"/>
          <w:color w:val="auto"/>
          <w:sz w:val="32"/>
          <w:szCs w:val="32"/>
          <w:u w:val="none"/>
          <w:lang w:val="en-US" w:eastAsia="zh-CN"/>
        </w:rPr>
        <w:t>化妆。工作时，佩戴的饰物不应外露。</w:t>
      </w:r>
    </w:p>
    <w:p>
      <w:pPr>
        <w:keepNext w:val="0"/>
        <w:keepLines w:val="0"/>
        <w:pageBreakBefore w:val="0"/>
        <w:widowControl w:val="0"/>
        <w:numPr>
          <w:ilvl w:val="0"/>
          <w:numId w:val="21"/>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从事接触直接入口食品工作的从业人员，加工食品前应进行手部消毒。</w:t>
      </w:r>
    </w:p>
    <w:p>
      <w:pPr>
        <w:keepNext w:val="0"/>
        <w:keepLines w:val="0"/>
        <w:pageBreakBefore w:val="0"/>
        <w:widowControl w:val="0"/>
        <w:numPr>
          <w:ilvl w:val="0"/>
          <w:numId w:val="21"/>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专间和专用操作区内的从业人员操作时应佩戴清洁的口罩、手套、工作帽等。</w:t>
      </w:r>
    </w:p>
    <w:p>
      <w:pPr>
        <w:keepNext w:val="0"/>
        <w:keepLines w:val="0"/>
        <w:pageBreakBefore w:val="0"/>
        <w:widowControl w:val="0"/>
        <w:numPr>
          <w:ilvl w:val="0"/>
          <w:numId w:val="21"/>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清洁操作区与其他操作区从业人员的工作服应有明显的颜色或标识区分。专间和专用操作区专用工作服与其他区域工作服外观应有明显区分。</w:t>
      </w:r>
    </w:p>
    <w:p>
      <w:pPr>
        <w:pStyle w:val="12"/>
        <w:keepNext w:val="0"/>
        <w:keepLines w:val="0"/>
        <w:pageBreakBefore w:val="0"/>
        <w:widowControl w:val="0"/>
        <w:numPr>
          <w:ilvl w:val="0"/>
          <w:numId w:val="15"/>
        </w:numPr>
        <w:kinsoku/>
        <w:wordWrap/>
        <w:overflowPunct/>
        <w:topLinePunct w:val="0"/>
        <w:autoSpaceDE/>
        <w:autoSpaceDN/>
        <w:bidi w:val="0"/>
        <w:adjustRightInd/>
        <w:spacing w:line="560" w:lineRule="exact"/>
        <w:jc w:val="both"/>
        <w:textAlignment w:val="auto"/>
        <w:outlineLvl w:val="2"/>
        <w:rPr>
          <w:rFonts w:hint="default" w:ascii="Times New Roman" w:hAnsi="Times New Roman" w:eastAsia="楷体_GB2312" w:cs="Times New Roman"/>
          <w:color w:val="auto"/>
          <w:sz w:val="32"/>
          <w:szCs w:val="32"/>
          <w:u w:val="none"/>
          <w:lang w:val="en-US" w:eastAsia="zh-CN"/>
        </w:rPr>
      </w:pPr>
      <w:bookmarkStart w:id="135" w:name="_Toc26963"/>
      <w:bookmarkStart w:id="136" w:name="_Toc488875510"/>
      <w:bookmarkStart w:id="137" w:name="_Toc1475078755"/>
      <w:bookmarkStart w:id="138" w:name="_Toc871770221"/>
      <w:bookmarkStart w:id="139" w:name="_Toc501637032"/>
      <w:bookmarkStart w:id="140" w:name="_Toc1432883024"/>
      <w:r>
        <w:rPr>
          <w:rFonts w:hint="default" w:ascii="Times New Roman" w:hAnsi="Times New Roman" w:eastAsia="楷体_GB2312" w:cs="Times New Roman"/>
          <w:color w:val="auto"/>
          <w:sz w:val="32"/>
          <w:szCs w:val="32"/>
          <w:u w:val="none"/>
          <w:lang w:val="en-US" w:eastAsia="zh-CN"/>
        </w:rPr>
        <w:t>添加剂管理</w:t>
      </w:r>
      <w:bookmarkEnd w:id="135"/>
      <w:bookmarkEnd w:id="136"/>
      <w:bookmarkEnd w:id="137"/>
      <w:bookmarkEnd w:id="138"/>
      <w:bookmarkEnd w:id="139"/>
      <w:bookmarkEnd w:id="140"/>
    </w:p>
    <w:p>
      <w:pPr>
        <w:keepNext w:val="0"/>
        <w:keepLines w:val="0"/>
        <w:pageBreakBefore w:val="0"/>
        <w:widowControl w:val="0"/>
        <w:numPr>
          <w:ilvl w:val="0"/>
          <w:numId w:val="22"/>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食品添加剂专人专柜（位）保管，</w:t>
      </w:r>
      <w:r>
        <w:rPr>
          <w:rFonts w:hint="eastAsia" w:ascii="仿宋_GB2312" w:hAnsi="仿宋_GB2312" w:eastAsia="仿宋_GB2312" w:cs="仿宋_GB2312"/>
          <w:color w:val="auto"/>
          <w:sz w:val="32"/>
          <w:szCs w:val="32"/>
          <w:u w:val="none"/>
          <w:lang w:val="en-US" w:eastAsia="zh-CN"/>
        </w:rPr>
        <w:t>标注“食品添加剂”</w:t>
      </w:r>
      <w:r>
        <w:rPr>
          <w:rFonts w:hint="default" w:ascii="Times New Roman" w:hAnsi="Times New Roman" w:cs="Times New Roman"/>
          <w:color w:val="auto"/>
          <w:sz w:val="32"/>
          <w:szCs w:val="32"/>
          <w:u w:val="none"/>
          <w:lang w:val="en-US" w:eastAsia="zh-CN"/>
        </w:rPr>
        <w:t>字样，并与食品、食品相关产品等分开存放</w:t>
      </w:r>
      <w:r>
        <w:rPr>
          <w:rFonts w:hint="eastAsia" w:ascii="Times New Roman" w:hAnsi="Times New Roman" w:cs="Times New Roman"/>
          <w:color w:val="auto"/>
          <w:sz w:val="32"/>
          <w:szCs w:val="32"/>
          <w:u w:val="none"/>
          <w:lang w:val="en-US" w:eastAsia="zh-CN"/>
        </w:rPr>
        <w:t>。</w:t>
      </w:r>
    </w:p>
    <w:p>
      <w:pPr>
        <w:keepNext w:val="0"/>
        <w:keepLines w:val="0"/>
        <w:pageBreakBefore w:val="0"/>
        <w:widowControl w:val="0"/>
        <w:numPr>
          <w:ilvl w:val="0"/>
          <w:numId w:val="22"/>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eastAsia" w:ascii="Times New Roman" w:hAnsi="Times New Roman" w:cs="Times New Roman"/>
          <w:color w:val="auto"/>
          <w:sz w:val="32"/>
          <w:szCs w:val="32"/>
          <w:u w:val="none"/>
        </w:rPr>
        <w:t>添加剂的使用应严格按照国家标准进行，明确允许使用的种类和最大用量</w:t>
      </w:r>
      <w:r>
        <w:rPr>
          <w:rFonts w:hint="eastAsia" w:ascii="Times New Roman" w:hAnsi="Times New Roman" w:cs="Times New Roman"/>
          <w:color w:val="auto"/>
          <w:sz w:val="32"/>
          <w:szCs w:val="32"/>
          <w:u w:val="none"/>
          <w:lang w:eastAsia="zh-CN"/>
        </w:rPr>
        <w:t>，</w:t>
      </w:r>
      <w:r>
        <w:rPr>
          <w:rFonts w:hint="eastAsia" w:ascii="Times New Roman" w:hAnsi="Times New Roman" w:cs="Times New Roman"/>
          <w:color w:val="auto"/>
          <w:sz w:val="32"/>
          <w:szCs w:val="32"/>
          <w:u w:val="none"/>
        </w:rPr>
        <w:t>做到计量使用、专册记录，保存详细的使用记录，包括使用日期、种类、用量及相关负责人员信息。</w:t>
      </w:r>
    </w:p>
    <w:p>
      <w:pPr>
        <w:keepNext w:val="0"/>
        <w:keepLines w:val="0"/>
        <w:pageBreakBefore w:val="0"/>
        <w:widowControl w:val="0"/>
        <w:numPr>
          <w:ilvl w:val="0"/>
          <w:numId w:val="22"/>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用容器盛放开封后的食品添加剂的，应在容器上标明食品添加剂名称、生产日期或批号、使用期限，并保留食品添加剂原包装。</w:t>
      </w:r>
    </w:p>
    <w:p>
      <w:pPr>
        <w:keepNext w:val="0"/>
        <w:keepLines w:val="0"/>
        <w:pageBreakBefore w:val="0"/>
        <w:widowControl w:val="0"/>
        <w:numPr>
          <w:ilvl w:val="0"/>
          <w:numId w:val="22"/>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eastAsia" w:ascii="Times New Roman" w:hAnsi="Times New Roman" w:cs="Times New Roman"/>
          <w:color w:val="auto"/>
          <w:sz w:val="32"/>
          <w:szCs w:val="32"/>
          <w:u w:val="none"/>
          <w:lang w:val="en-US" w:eastAsia="zh-CN"/>
        </w:rPr>
        <w:t>严禁</w:t>
      </w:r>
      <w:r>
        <w:rPr>
          <w:rFonts w:hint="default" w:ascii="Times New Roman" w:hAnsi="Times New Roman" w:cs="Times New Roman"/>
          <w:color w:val="auto"/>
          <w:sz w:val="32"/>
          <w:szCs w:val="32"/>
          <w:u w:val="none"/>
          <w:lang w:val="en-US" w:eastAsia="zh-CN"/>
        </w:rPr>
        <w:t>采购、贮存</w:t>
      </w:r>
      <w:r>
        <w:rPr>
          <w:rFonts w:hint="eastAsia" w:ascii="Times New Roman" w:hAnsi="Times New Roman" w:cs="Times New Roman"/>
          <w:color w:val="auto"/>
          <w:sz w:val="32"/>
          <w:szCs w:val="32"/>
          <w:u w:val="none"/>
          <w:lang w:val="en-US" w:eastAsia="zh-CN"/>
        </w:rPr>
        <w:t>和</w:t>
      </w:r>
      <w:r>
        <w:rPr>
          <w:rFonts w:hint="default" w:ascii="Times New Roman" w:hAnsi="Times New Roman" w:cs="Times New Roman"/>
          <w:color w:val="auto"/>
          <w:sz w:val="32"/>
          <w:szCs w:val="32"/>
          <w:u w:val="none"/>
          <w:lang w:val="en-US" w:eastAsia="zh-CN"/>
        </w:rPr>
        <w:t>使用亚硝酸盐（包括亚硝酸钠、亚硝酸钾）。</w:t>
      </w:r>
    </w:p>
    <w:p>
      <w:pPr>
        <w:pStyle w:val="12"/>
        <w:keepNext w:val="0"/>
        <w:keepLines w:val="0"/>
        <w:pageBreakBefore w:val="0"/>
        <w:widowControl w:val="0"/>
        <w:numPr>
          <w:ilvl w:val="0"/>
          <w:numId w:val="15"/>
        </w:numPr>
        <w:kinsoku/>
        <w:wordWrap/>
        <w:overflowPunct/>
        <w:topLinePunct w:val="0"/>
        <w:autoSpaceDE/>
        <w:autoSpaceDN/>
        <w:bidi w:val="0"/>
        <w:adjustRightInd/>
        <w:spacing w:line="560" w:lineRule="exact"/>
        <w:jc w:val="both"/>
        <w:textAlignment w:val="auto"/>
        <w:outlineLvl w:val="2"/>
        <w:rPr>
          <w:rFonts w:hint="default" w:ascii="Times New Roman" w:hAnsi="Times New Roman" w:eastAsia="楷体_GB2312" w:cs="Times New Roman"/>
          <w:color w:val="auto"/>
          <w:sz w:val="32"/>
          <w:szCs w:val="32"/>
          <w:u w:val="none"/>
          <w:lang w:val="en-US" w:eastAsia="zh-CN"/>
        </w:rPr>
      </w:pPr>
      <w:bookmarkStart w:id="141" w:name="_Toc1413050284"/>
      <w:bookmarkStart w:id="142" w:name="_Toc26071771"/>
      <w:bookmarkStart w:id="143" w:name="_Toc1789858098"/>
      <w:bookmarkStart w:id="144" w:name="_Toc1874287325"/>
      <w:bookmarkStart w:id="145" w:name="_Toc1249"/>
      <w:bookmarkStart w:id="146" w:name="_Toc2045236950"/>
      <w:r>
        <w:rPr>
          <w:rFonts w:hint="default" w:ascii="Times New Roman" w:hAnsi="Times New Roman" w:eastAsia="楷体_GB2312" w:cs="Times New Roman"/>
          <w:color w:val="auto"/>
          <w:sz w:val="32"/>
          <w:szCs w:val="32"/>
          <w:u w:val="none"/>
          <w:lang w:val="en-US" w:eastAsia="zh-CN"/>
        </w:rPr>
        <w:t>食品留样</w:t>
      </w:r>
      <w:bookmarkEnd w:id="141"/>
      <w:bookmarkEnd w:id="142"/>
      <w:bookmarkEnd w:id="143"/>
      <w:bookmarkEnd w:id="144"/>
      <w:bookmarkEnd w:id="145"/>
      <w:bookmarkEnd w:id="146"/>
    </w:p>
    <w:p>
      <w:pPr>
        <w:keepNext w:val="0"/>
        <w:keepLines w:val="0"/>
        <w:pageBreakBefore w:val="0"/>
        <w:widowControl w:val="0"/>
        <w:numPr>
          <w:ilvl w:val="0"/>
          <w:numId w:val="23"/>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对每餐次加工制作的每种食品成品进行留样，按品种分别盛放于清洗消毒后的专用密闭容器内。</w:t>
      </w:r>
    </w:p>
    <w:p>
      <w:pPr>
        <w:keepNext w:val="0"/>
        <w:keepLines w:val="0"/>
        <w:pageBreakBefore w:val="0"/>
        <w:widowControl w:val="0"/>
        <w:numPr>
          <w:ilvl w:val="0"/>
          <w:numId w:val="23"/>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每个品种留样量不少于125克，由专用留样冰箱冷藏（</w:t>
      </w:r>
      <w:r>
        <w:rPr>
          <w:rFonts w:hint="default" w:ascii="Times New Roman Regular" w:hAnsi="Times New Roman Regular" w:cs="Times New Roman Regular"/>
          <w:color w:val="auto"/>
          <w:sz w:val="32"/>
          <w:szCs w:val="32"/>
          <w:u w:val="none"/>
          <w:lang w:val="en-US" w:eastAsia="zh-CN"/>
        </w:rPr>
        <w:t>0</w:t>
      </w:r>
      <w:r>
        <w:rPr>
          <w:rFonts w:hint="default" w:ascii="Times New Roman Regular" w:hAnsi="Times New Roman Regular" w:eastAsia="仿宋_GB2312" w:cs="Times New Roman Regular"/>
          <w:color w:val="auto"/>
          <w:sz w:val="32"/>
          <w:szCs w:val="32"/>
          <w:u w:val="none"/>
          <w:lang w:val="en-US" w:eastAsia="zh-CN"/>
        </w:rPr>
        <w:t>℃</w:t>
      </w:r>
      <w:r>
        <w:rPr>
          <w:rFonts w:hint="default" w:ascii="Times New Roman Regular" w:hAnsi="Times New Roman Regular" w:cs="Times New Roman Regular"/>
          <w:color w:val="auto"/>
          <w:sz w:val="32"/>
          <w:szCs w:val="32"/>
          <w:u w:val="none"/>
          <w:lang w:val="en-US" w:eastAsia="zh-CN"/>
        </w:rPr>
        <w:t>～8</w:t>
      </w:r>
      <w:r>
        <w:rPr>
          <w:rFonts w:hint="default" w:ascii="Times New Roman Regular" w:hAnsi="Times New Roman Regular" w:eastAsia="仿宋_GB2312" w:cs="Times New Roman Regular"/>
          <w:color w:val="auto"/>
          <w:sz w:val="32"/>
          <w:szCs w:val="32"/>
          <w:u w:val="none"/>
          <w:lang w:val="en-US" w:eastAsia="zh-CN"/>
        </w:rPr>
        <w:t>℃</w:t>
      </w:r>
      <w:r>
        <w:rPr>
          <w:rFonts w:hint="default" w:ascii="Times New Roman" w:hAnsi="Times New Roman" w:cs="Times New Roman"/>
          <w:color w:val="auto"/>
          <w:sz w:val="32"/>
          <w:szCs w:val="32"/>
          <w:u w:val="none"/>
          <w:lang w:val="en-US" w:eastAsia="zh-CN"/>
        </w:rPr>
        <w:t>）保存48小时以上，并有留样记录。</w:t>
      </w:r>
    </w:p>
    <w:p>
      <w:pPr>
        <w:keepNext w:val="0"/>
        <w:keepLines w:val="0"/>
        <w:pageBreakBefore w:val="0"/>
        <w:widowControl w:val="0"/>
        <w:numPr>
          <w:ilvl w:val="0"/>
          <w:numId w:val="23"/>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留样冰箱</w:t>
      </w:r>
      <w:r>
        <w:rPr>
          <w:rFonts w:hint="eastAsia" w:ascii="仿宋_GB2312" w:hAnsi="仿宋_GB2312" w:eastAsia="仿宋_GB2312" w:cs="仿宋_GB2312"/>
          <w:color w:val="auto"/>
          <w:sz w:val="32"/>
          <w:szCs w:val="32"/>
          <w:u w:val="none"/>
          <w:lang w:val="en-US" w:eastAsia="zh-CN"/>
        </w:rPr>
        <w:t>“双人双锁”</w:t>
      </w:r>
      <w:r>
        <w:rPr>
          <w:rFonts w:hint="default" w:ascii="Times New Roman" w:hAnsi="Times New Roman" w:cs="Times New Roman"/>
          <w:color w:val="auto"/>
          <w:sz w:val="32"/>
          <w:szCs w:val="32"/>
          <w:u w:val="none"/>
          <w:lang w:val="en-US" w:eastAsia="zh-CN"/>
        </w:rPr>
        <w:t>，专人负责留样管理。</w:t>
      </w:r>
    </w:p>
    <w:p>
      <w:pPr>
        <w:pStyle w:val="12"/>
        <w:keepNext w:val="0"/>
        <w:keepLines w:val="0"/>
        <w:pageBreakBefore w:val="0"/>
        <w:widowControl w:val="0"/>
        <w:numPr>
          <w:ilvl w:val="0"/>
          <w:numId w:val="15"/>
        </w:numPr>
        <w:kinsoku/>
        <w:wordWrap/>
        <w:overflowPunct/>
        <w:topLinePunct w:val="0"/>
        <w:autoSpaceDE/>
        <w:autoSpaceDN/>
        <w:bidi w:val="0"/>
        <w:adjustRightInd/>
        <w:spacing w:line="560" w:lineRule="exact"/>
        <w:jc w:val="both"/>
        <w:textAlignment w:val="auto"/>
        <w:outlineLvl w:val="2"/>
        <w:rPr>
          <w:rFonts w:hint="default" w:ascii="Times New Roman" w:hAnsi="Times New Roman" w:eastAsia="楷体_GB2312" w:cs="Times New Roman"/>
          <w:color w:val="auto"/>
          <w:sz w:val="32"/>
          <w:szCs w:val="32"/>
          <w:u w:val="none"/>
          <w:lang w:val="en-US" w:eastAsia="zh-CN"/>
        </w:rPr>
      </w:pPr>
      <w:bookmarkStart w:id="147" w:name="_Toc1840676837"/>
      <w:bookmarkStart w:id="148" w:name="_Toc1153543120"/>
      <w:bookmarkStart w:id="149" w:name="_Toc955933356"/>
      <w:bookmarkStart w:id="150" w:name="_Toc433928949"/>
      <w:bookmarkStart w:id="151" w:name="_Toc400059162"/>
      <w:bookmarkStart w:id="152" w:name="_Toc24375"/>
      <w:r>
        <w:rPr>
          <w:rFonts w:hint="default" w:ascii="Times New Roman" w:hAnsi="Times New Roman" w:eastAsia="楷体_GB2312" w:cs="Times New Roman"/>
          <w:color w:val="auto"/>
          <w:sz w:val="32"/>
          <w:szCs w:val="32"/>
          <w:u w:val="none"/>
          <w:lang w:val="en-US" w:eastAsia="zh-CN"/>
        </w:rPr>
        <w:t>清洗消毒</w:t>
      </w:r>
      <w:bookmarkEnd w:id="147"/>
      <w:bookmarkEnd w:id="148"/>
      <w:bookmarkEnd w:id="149"/>
      <w:bookmarkEnd w:id="150"/>
      <w:bookmarkEnd w:id="151"/>
      <w:bookmarkEnd w:id="152"/>
    </w:p>
    <w:p>
      <w:pPr>
        <w:keepNext w:val="0"/>
        <w:keepLines w:val="0"/>
        <w:pageBreakBefore w:val="0"/>
        <w:widowControl w:val="0"/>
        <w:numPr>
          <w:ilvl w:val="0"/>
          <w:numId w:val="24"/>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采用物理消毒或化学消毒的设备</w:t>
      </w:r>
      <w:r>
        <w:rPr>
          <w:rFonts w:hint="eastAsia" w:ascii="Times New Roman" w:hAnsi="Times New Roman" w:cs="Times New Roman"/>
          <w:color w:val="auto"/>
          <w:sz w:val="32"/>
          <w:szCs w:val="32"/>
          <w:u w:val="none"/>
          <w:lang w:val="en-US" w:eastAsia="zh-CN"/>
        </w:rPr>
        <w:t>应</w:t>
      </w:r>
      <w:r>
        <w:rPr>
          <w:rFonts w:hint="default" w:ascii="Times New Roman" w:hAnsi="Times New Roman" w:cs="Times New Roman"/>
          <w:color w:val="auto"/>
          <w:sz w:val="32"/>
          <w:szCs w:val="32"/>
          <w:u w:val="none"/>
          <w:lang w:val="en-US" w:eastAsia="zh-CN"/>
        </w:rPr>
        <w:t>能正常运转，消毒温度和时间</w:t>
      </w:r>
      <w:r>
        <w:rPr>
          <w:rFonts w:hint="eastAsia" w:ascii="Times New Roman" w:hAnsi="Times New Roman" w:cs="Times New Roman"/>
          <w:color w:val="auto"/>
          <w:sz w:val="32"/>
          <w:szCs w:val="32"/>
          <w:u w:val="none"/>
          <w:lang w:val="en-US" w:eastAsia="zh-CN"/>
        </w:rPr>
        <w:t>应</w:t>
      </w:r>
      <w:r>
        <w:rPr>
          <w:rFonts w:hint="default" w:ascii="Times New Roman" w:hAnsi="Times New Roman" w:cs="Times New Roman"/>
          <w:color w:val="auto"/>
          <w:sz w:val="32"/>
          <w:szCs w:val="32"/>
          <w:u w:val="none"/>
          <w:lang w:val="en-US" w:eastAsia="zh-CN"/>
        </w:rPr>
        <w:t>符合相关要求，消毒液配制和浓度</w:t>
      </w:r>
      <w:r>
        <w:rPr>
          <w:rFonts w:hint="eastAsia" w:ascii="Times New Roman" w:hAnsi="Times New Roman" w:cs="Times New Roman"/>
          <w:color w:val="auto"/>
          <w:sz w:val="32"/>
          <w:szCs w:val="32"/>
          <w:u w:val="none"/>
          <w:lang w:val="en-US" w:eastAsia="zh-CN"/>
        </w:rPr>
        <w:t>应严格按照规定执行</w:t>
      </w:r>
      <w:r>
        <w:rPr>
          <w:rFonts w:hint="default" w:ascii="Times New Roman" w:hAnsi="Times New Roman" w:cs="Times New Roman"/>
          <w:color w:val="auto"/>
          <w:sz w:val="32"/>
          <w:szCs w:val="32"/>
          <w:u w:val="none"/>
          <w:lang w:val="en-US" w:eastAsia="zh-CN"/>
        </w:rPr>
        <w:t>。采用自动清洗消毒的应严格</w:t>
      </w:r>
      <w:r>
        <w:rPr>
          <w:rFonts w:hint="eastAsia" w:ascii="Times New Roman" w:hAnsi="Times New Roman" w:cs="Times New Roman"/>
          <w:color w:val="auto"/>
          <w:sz w:val="32"/>
          <w:szCs w:val="32"/>
          <w:u w:val="none"/>
          <w:lang w:val="en-US" w:eastAsia="zh-CN"/>
        </w:rPr>
        <w:t>遵循</w:t>
      </w:r>
      <w:r>
        <w:rPr>
          <w:rFonts w:hint="default" w:ascii="Times New Roman" w:hAnsi="Times New Roman" w:cs="Times New Roman"/>
          <w:color w:val="auto"/>
          <w:sz w:val="32"/>
          <w:szCs w:val="32"/>
          <w:u w:val="none"/>
          <w:lang w:val="en-US" w:eastAsia="zh-CN"/>
        </w:rPr>
        <w:t>使用说明操作。</w:t>
      </w:r>
    </w:p>
    <w:p>
      <w:pPr>
        <w:keepNext w:val="0"/>
        <w:keepLines w:val="0"/>
        <w:pageBreakBefore w:val="0"/>
        <w:widowControl w:val="0"/>
        <w:numPr>
          <w:ilvl w:val="0"/>
          <w:numId w:val="24"/>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eastAsia" w:ascii="Times New Roman" w:hAnsi="Times New Roman" w:cs="Times New Roman"/>
          <w:color w:val="auto"/>
          <w:sz w:val="32"/>
          <w:szCs w:val="32"/>
          <w:u w:val="none"/>
          <w:lang w:val="en-US" w:eastAsia="zh-CN"/>
        </w:rPr>
        <w:t>餐饮具</w:t>
      </w:r>
      <w:r>
        <w:rPr>
          <w:rFonts w:hint="default" w:ascii="Times New Roman" w:hAnsi="Times New Roman" w:cs="Times New Roman"/>
          <w:color w:val="auto"/>
          <w:sz w:val="32"/>
          <w:szCs w:val="32"/>
          <w:u w:val="none"/>
          <w:lang w:val="en-US" w:eastAsia="zh-CN"/>
        </w:rPr>
        <w:t>清洗设施</w:t>
      </w:r>
      <w:r>
        <w:rPr>
          <w:rFonts w:hint="eastAsia" w:ascii="Times New Roman" w:hAnsi="Times New Roman" w:cs="Times New Roman"/>
          <w:color w:val="auto"/>
          <w:sz w:val="32"/>
          <w:szCs w:val="32"/>
          <w:u w:val="none"/>
          <w:lang w:val="en-US" w:eastAsia="zh-CN"/>
        </w:rPr>
        <w:t>和</w:t>
      </w:r>
      <w:r>
        <w:rPr>
          <w:rFonts w:hint="default" w:ascii="Times New Roman" w:hAnsi="Times New Roman" w:cs="Times New Roman"/>
          <w:color w:val="auto"/>
          <w:sz w:val="32"/>
          <w:szCs w:val="32"/>
          <w:u w:val="none"/>
          <w:lang w:val="en-US" w:eastAsia="zh-CN"/>
        </w:rPr>
        <w:t>设备应与食品原料</w:t>
      </w:r>
      <w:r>
        <w:rPr>
          <w:rFonts w:hint="eastAsia" w:ascii="Times New Roman" w:hAnsi="Times New Roman" w:cs="Times New Roman"/>
          <w:color w:val="auto"/>
          <w:sz w:val="32"/>
          <w:szCs w:val="32"/>
          <w:u w:val="none"/>
          <w:lang w:val="en-US" w:eastAsia="zh-CN"/>
        </w:rPr>
        <w:t>及</w:t>
      </w:r>
      <w:r>
        <w:rPr>
          <w:rFonts w:hint="default" w:ascii="Times New Roman" w:hAnsi="Times New Roman" w:cs="Times New Roman"/>
          <w:color w:val="auto"/>
          <w:sz w:val="32"/>
          <w:szCs w:val="32"/>
          <w:u w:val="none"/>
          <w:lang w:val="en-US" w:eastAsia="zh-CN"/>
        </w:rPr>
        <w:t>清洁工具的清洗设施、设备分开</w:t>
      </w:r>
      <w:r>
        <w:rPr>
          <w:rFonts w:hint="eastAsia" w:ascii="Times New Roman" w:hAnsi="Times New Roman" w:cs="Times New Roman"/>
          <w:color w:val="auto"/>
          <w:sz w:val="32"/>
          <w:szCs w:val="32"/>
          <w:u w:val="none"/>
          <w:lang w:val="en-US" w:eastAsia="zh-CN"/>
        </w:rPr>
        <w:t>，</w:t>
      </w:r>
      <w:r>
        <w:rPr>
          <w:rFonts w:hint="default" w:ascii="Times New Roman" w:hAnsi="Times New Roman" w:cs="Times New Roman"/>
          <w:color w:val="auto"/>
          <w:sz w:val="32"/>
          <w:szCs w:val="32"/>
          <w:u w:val="none"/>
          <w:lang w:val="en-US" w:eastAsia="zh-CN"/>
        </w:rPr>
        <w:t>并</w:t>
      </w:r>
      <w:r>
        <w:rPr>
          <w:rFonts w:hint="eastAsia" w:ascii="Times New Roman" w:hAnsi="Times New Roman" w:cs="Times New Roman"/>
          <w:color w:val="auto"/>
          <w:sz w:val="32"/>
          <w:szCs w:val="32"/>
          <w:u w:val="none"/>
          <w:lang w:val="en-US" w:eastAsia="zh-CN"/>
        </w:rPr>
        <w:t>有</w:t>
      </w:r>
      <w:r>
        <w:rPr>
          <w:rFonts w:hint="default" w:ascii="Times New Roman" w:hAnsi="Times New Roman" w:cs="Times New Roman"/>
          <w:color w:val="auto"/>
          <w:sz w:val="32"/>
          <w:szCs w:val="32"/>
          <w:u w:val="none"/>
          <w:lang w:val="en-US" w:eastAsia="zh-CN"/>
        </w:rPr>
        <w:t>明显区分。</w:t>
      </w:r>
    </w:p>
    <w:p>
      <w:pPr>
        <w:keepNext w:val="0"/>
        <w:keepLines w:val="0"/>
        <w:pageBreakBefore w:val="0"/>
        <w:widowControl w:val="0"/>
        <w:numPr>
          <w:ilvl w:val="0"/>
          <w:numId w:val="24"/>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消毒后的餐饮具、盛放或接触直接入口食品的容器和工具，应定位存放在清洁、专用、密闭的保洁设施中，并有明显区分标识。定期清洁保洁设施，防止清洗消毒后的</w:t>
      </w:r>
      <w:r>
        <w:rPr>
          <w:rFonts w:hint="eastAsia" w:ascii="Times New Roman" w:hAnsi="Times New Roman" w:cs="Times New Roman"/>
          <w:color w:val="auto"/>
          <w:sz w:val="32"/>
          <w:szCs w:val="32"/>
          <w:u w:val="none"/>
          <w:lang w:val="en-US" w:eastAsia="zh-CN"/>
        </w:rPr>
        <w:t>餐饮具</w:t>
      </w:r>
      <w:r>
        <w:rPr>
          <w:rFonts w:hint="default" w:ascii="Times New Roman" w:hAnsi="Times New Roman" w:cs="Times New Roman"/>
          <w:color w:val="auto"/>
          <w:sz w:val="32"/>
          <w:szCs w:val="32"/>
          <w:u w:val="none"/>
          <w:lang w:val="en-US" w:eastAsia="zh-CN"/>
        </w:rPr>
        <w:t>受到污染。</w:t>
      </w:r>
    </w:p>
    <w:p>
      <w:pPr>
        <w:keepNext w:val="0"/>
        <w:keepLines w:val="0"/>
        <w:pageBreakBefore w:val="0"/>
        <w:widowControl w:val="0"/>
        <w:numPr>
          <w:ilvl w:val="0"/>
          <w:numId w:val="24"/>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每餐或每班使用专间前，应对操作台面和专间空气进行消毒。</w:t>
      </w:r>
    </w:p>
    <w:p>
      <w:pPr>
        <w:pStyle w:val="12"/>
        <w:keepNext w:val="0"/>
        <w:keepLines w:val="0"/>
        <w:pageBreakBefore w:val="0"/>
        <w:widowControl w:val="0"/>
        <w:numPr>
          <w:ilvl w:val="0"/>
          <w:numId w:val="15"/>
        </w:numPr>
        <w:kinsoku/>
        <w:wordWrap/>
        <w:overflowPunct/>
        <w:topLinePunct w:val="0"/>
        <w:autoSpaceDE/>
        <w:autoSpaceDN/>
        <w:bidi w:val="0"/>
        <w:adjustRightInd/>
        <w:spacing w:line="560" w:lineRule="exact"/>
        <w:jc w:val="both"/>
        <w:textAlignment w:val="auto"/>
        <w:outlineLvl w:val="2"/>
        <w:rPr>
          <w:rFonts w:hint="default" w:ascii="Times New Roman" w:hAnsi="Times New Roman" w:eastAsia="楷体_GB2312" w:cs="Times New Roman"/>
          <w:color w:val="auto"/>
          <w:sz w:val="32"/>
          <w:szCs w:val="32"/>
          <w:u w:val="none"/>
          <w:lang w:val="en-US" w:eastAsia="zh-CN"/>
        </w:rPr>
      </w:pPr>
      <w:bookmarkStart w:id="153" w:name="_Toc915081649"/>
      <w:bookmarkStart w:id="154" w:name="_Toc2090985600"/>
      <w:bookmarkStart w:id="155" w:name="_Toc28130"/>
      <w:bookmarkStart w:id="156" w:name="_Toc1755089057"/>
      <w:bookmarkStart w:id="157" w:name="_Toc379242760"/>
      <w:bookmarkStart w:id="158" w:name="_Toc1834974503"/>
      <w:r>
        <w:rPr>
          <w:rFonts w:hint="default" w:ascii="Times New Roman" w:hAnsi="Times New Roman" w:eastAsia="楷体_GB2312" w:cs="Times New Roman"/>
          <w:color w:val="auto"/>
          <w:sz w:val="32"/>
          <w:szCs w:val="32"/>
          <w:u w:val="none"/>
          <w:lang w:val="en-US" w:eastAsia="zh-CN"/>
        </w:rPr>
        <w:t>环境卫生</w:t>
      </w:r>
      <w:bookmarkEnd w:id="153"/>
      <w:bookmarkEnd w:id="154"/>
      <w:bookmarkEnd w:id="155"/>
      <w:bookmarkEnd w:id="156"/>
    </w:p>
    <w:p>
      <w:pPr>
        <w:keepNext w:val="0"/>
        <w:keepLines w:val="0"/>
        <w:pageBreakBefore w:val="0"/>
        <w:widowControl w:val="0"/>
        <w:numPr>
          <w:ilvl w:val="0"/>
          <w:numId w:val="2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食品处理区保持墙壁和门窗无污渍、无灰尘，天花板无霉斑。</w:t>
      </w:r>
    </w:p>
    <w:p>
      <w:pPr>
        <w:keepNext w:val="0"/>
        <w:keepLines w:val="0"/>
        <w:pageBreakBefore w:val="0"/>
        <w:widowControl w:val="0"/>
        <w:numPr>
          <w:ilvl w:val="0"/>
          <w:numId w:val="2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就餐场所卫生清洁，地面、墙壁、门窗、天花板等无霉斑、污垢、积油、积水等情形。</w:t>
      </w:r>
    </w:p>
    <w:p>
      <w:pPr>
        <w:keepNext w:val="0"/>
        <w:keepLines w:val="0"/>
        <w:pageBreakBefore w:val="0"/>
        <w:widowControl w:val="0"/>
        <w:numPr>
          <w:ilvl w:val="0"/>
          <w:numId w:val="2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卫生间地面、洗手池及台面无积水、无污物、无垃圾，便池内外无污物、无积垢、冲水良好。</w:t>
      </w:r>
    </w:p>
    <w:p>
      <w:pPr>
        <w:keepNext w:val="0"/>
        <w:keepLines w:val="0"/>
        <w:pageBreakBefore w:val="0"/>
        <w:widowControl w:val="0"/>
        <w:numPr>
          <w:ilvl w:val="0"/>
          <w:numId w:val="2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待清洗的工作服不得存放在食品处理区。</w:t>
      </w:r>
    </w:p>
    <w:p>
      <w:pPr>
        <w:keepNext w:val="0"/>
        <w:keepLines w:val="0"/>
        <w:pageBreakBefore w:val="0"/>
        <w:widowControl w:val="0"/>
        <w:numPr>
          <w:ilvl w:val="0"/>
          <w:numId w:val="25"/>
        </w:numPr>
        <w:kinsoku/>
        <w:wordWrap/>
        <w:overflowPunct/>
        <w:topLinePunct w:val="0"/>
        <w:autoSpaceDE/>
        <w:autoSpaceDN/>
        <w:bidi w:val="0"/>
        <w:adjustRightInd/>
        <w:spacing w:line="560" w:lineRule="exact"/>
        <w:jc w:val="both"/>
        <w:textAlignment w:val="auto"/>
        <w:rPr>
          <w:rFonts w:hint="default" w:ascii="Times New Roman" w:hAnsi="Times New Roman" w:eastAsia="楷体_GB2312" w:cs="Times New Roman"/>
          <w:color w:val="auto"/>
          <w:sz w:val="32"/>
          <w:szCs w:val="32"/>
          <w:u w:val="none"/>
          <w:lang w:val="en-US" w:eastAsia="zh-CN"/>
        </w:rPr>
      </w:pPr>
      <w:r>
        <w:rPr>
          <w:rFonts w:hint="eastAsia" w:ascii="Times New Roman" w:hAnsi="Times New Roman" w:cs="Times New Roman"/>
          <w:color w:val="auto"/>
          <w:sz w:val="32"/>
          <w:szCs w:val="32"/>
          <w:u w:val="none"/>
          <w:lang w:val="en-US" w:eastAsia="zh-CN"/>
        </w:rPr>
        <w:t>应</w:t>
      </w:r>
      <w:r>
        <w:rPr>
          <w:rFonts w:hint="default" w:ascii="Times New Roman" w:hAnsi="Times New Roman" w:cs="Times New Roman"/>
          <w:color w:val="auto"/>
          <w:sz w:val="32"/>
          <w:szCs w:val="32"/>
          <w:u w:val="none"/>
          <w:lang w:val="en-US" w:eastAsia="zh-CN"/>
        </w:rPr>
        <w:t>开展有害生物防治</w:t>
      </w:r>
      <w:r>
        <w:rPr>
          <w:rFonts w:hint="eastAsia" w:ascii="Times New Roman" w:hAnsi="Times New Roman" w:cs="Times New Roman"/>
          <w:color w:val="auto"/>
          <w:sz w:val="32"/>
          <w:szCs w:val="32"/>
          <w:u w:val="none"/>
          <w:lang w:val="en-US" w:eastAsia="zh-CN"/>
        </w:rPr>
        <w:t>，</w:t>
      </w:r>
      <w:r>
        <w:rPr>
          <w:rFonts w:hint="default" w:ascii="Times New Roman" w:hAnsi="Times New Roman" w:cs="Times New Roman"/>
          <w:color w:val="auto"/>
          <w:sz w:val="32"/>
          <w:szCs w:val="32"/>
          <w:u w:val="none"/>
          <w:lang w:val="en-US" w:eastAsia="zh-CN"/>
        </w:rPr>
        <w:t>遵循优先使用物理方法、必要时使用化学方法的原则。化学药剂应存放在专门设施内。</w:t>
      </w:r>
    </w:p>
    <w:p>
      <w:pPr>
        <w:pStyle w:val="12"/>
        <w:keepNext w:val="0"/>
        <w:keepLines w:val="0"/>
        <w:pageBreakBefore w:val="0"/>
        <w:widowControl w:val="0"/>
        <w:numPr>
          <w:ilvl w:val="0"/>
          <w:numId w:val="15"/>
        </w:numPr>
        <w:kinsoku/>
        <w:wordWrap/>
        <w:overflowPunct/>
        <w:topLinePunct w:val="0"/>
        <w:autoSpaceDE/>
        <w:autoSpaceDN/>
        <w:bidi w:val="0"/>
        <w:adjustRightInd/>
        <w:spacing w:line="560" w:lineRule="exact"/>
        <w:jc w:val="both"/>
        <w:textAlignment w:val="auto"/>
        <w:outlineLvl w:val="2"/>
        <w:rPr>
          <w:rFonts w:hint="default" w:ascii="Times New Roman" w:hAnsi="Times New Roman" w:eastAsia="楷体_GB2312" w:cs="Times New Roman"/>
          <w:color w:val="auto"/>
          <w:sz w:val="32"/>
          <w:szCs w:val="32"/>
          <w:u w:val="none"/>
          <w:lang w:val="en-US" w:eastAsia="zh-CN"/>
        </w:rPr>
      </w:pPr>
      <w:bookmarkStart w:id="159" w:name="_Toc15054"/>
      <w:bookmarkStart w:id="160" w:name="_Toc627007117"/>
      <w:bookmarkStart w:id="161" w:name="_Toc1533099303"/>
      <w:bookmarkStart w:id="162" w:name="_Toc239937627"/>
      <w:r>
        <w:rPr>
          <w:rFonts w:hint="eastAsia" w:ascii="Times New Roman" w:hAnsi="Times New Roman" w:eastAsia="楷体_GB2312" w:cs="Times New Roman"/>
          <w:color w:val="auto"/>
          <w:sz w:val="32"/>
          <w:szCs w:val="32"/>
          <w:u w:val="none"/>
          <w:lang w:val="en-US" w:eastAsia="zh-CN"/>
        </w:rPr>
        <w:t>餐厨废弃物处置</w:t>
      </w:r>
      <w:bookmarkEnd w:id="159"/>
      <w:bookmarkEnd w:id="160"/>
      <w:bookmarkEnd w:id="161"/>
      <w:bookmarkEnd w:id="162"/>
    </w:p>
    <w:p>
      <w:pPr>
        <w:keepNext w:val="0"/>
        <w:keepLines w:val="0"/>
        <w:pageBreakBefore w:val="0"/>
        <w:widowControl w:val="0"/>
        <w:numPr>
          <w:ilvl w:val="0"/>
          <w:numId w:val="26"/>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餐厨废弃物应分类放置、及时清理，日产日清</w:t>
      </w:r>
      <w:r>
        <w:rPr>
          <w:rFonts w:hint="eastAsia" w:ascii="Times New Roman" w:hAnsi="Times New Roman" w:cs="Times New Roman"/>
          <w:color w:val="auto"/>
          <w:sz w:val="32"/>
          <w:szCs w:val="32"/>
          <w:u w:val="none"/>
          <w:lang w:val="en-US" w:eastAsia="zh-CN"/>
        </w:rPr>
        <w:t>，</w:t>
      </w:r>
      <w:r>
        <w:rPr>
          <w:rFonts w:hint="default" w:ascii="Times New Roman" w:hAnsi="Times New Roman" w:cs="Times New Roman"/>
          <w:color w:val="auto"/>
          <w:sz w:val="32"/>
          <w:szCs w:val="32"/>
          <w:u w:val="none"/>
          <w:lang w:val="en-US" w:eastAsia="zh-CN"/>
        </w:rPr>
        <w:t>不应溢出存放容器。</w:t>
      </w:r>
    </w:p>
    <w:p>
      <w:pPr>
        <w:keepNext w:val="0"/>
        <w:keepLines w:val="0"/>
        <w:pageBreakBefore w:val="0"/>
        <w:widowControl w:val="0"/>
        <w:numPr>
          <w:ilvl w:val="0"/>
          <w:numId w:val="26"/>
        </w:numPr>
        <w:kinsoku/>
        <w:wordWrap/>
        <w:overflowPunct/>
        <w:topLinePunct w:val="0"/>
        <w:autoSpaceDE/>
        <w:autoSpaceDN/>
        <w:bidi w:val="0"/>
        <w:adjustRightInd/>
        <w:spacing w:line="560" w:lineRule="exact"/>
        <w:jc w:val="both"/>
        <w:textAlignment w:val="auto"/>
        <w:rPr>
          <w:rFonts w:hint="default" w:ascii="Times New Roman" w:hAnsi="Times New Roman" w:eastAsia="楷体_GB2312"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废弃物存放容器应配有盖子，内壁光滑，易于清洁</w:t>
      </w:r>
      <w:r>
        <w:rPr>
          <w:rFonts w:hint="eastAsia" w:ascii="Times New Roman" w:hAnsi="Times New Roman" w:cs="Times New Roman"/>
          <w:color w:val="auto"/>
          <w:sz w:val="32"/>
          <w:szCs w:val="32"/>
          <w:u w:val="none"/>
          <w:lang w:val="en-US" w:eastAsia="zh-CN"/>
        </w:rPr>
        <w:t>，</w:t>
      </w:r>
      <w:r>
        <w:rPr>
          <w:rFonts w:hint="default" w:ascii="Times New Roman" w:hAnsi="Times New Roman" w:cs="Times New Roman"/>
          <w:color w:val="auto"/>
          <w:sz w:val="32"/>
          <w:szCs w:val="32"/>
          <w:u w:val="none"/>
          <w:lang w:val="en-US" w:eastAsia="zh-CN"/>
        </w:rPr>
        <w:t>及时清洁废弃物存放容器，必要时进行消毒</w:t>
      </w:r>
      <w:r>
        <w:rPr>
          <w:rFonts w:hint="eastAsia" w:ascii="Times New Roman" w:hAnsi="Times New Roman" w:cs="Times New Roman"/>
          <w:color w:val="auto"/>
          <w:sz w:val="32"/>
          <w:szCs w:val="32"/>
          <w:u w:val="none"/>
          <w:lang w:val="en-US" w:eastAsia="zh-CN"/>
        </w:rPr>
        <w:t>。</w:t>
      </w:r>
    </w:p>
    <w:p>
      <w:pPr>
        <w:keepNext w:val="0"/>
        <w:keepLines w:val="0"/>
        <w:pageBreakBefore w:val="0"/>
        <w:widowControl w:val="0"/>
        <w:numPr>
          <w:ilvl w:val="0"/>
          <w:numId w:val="26"/>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食堂</w:t>
      </w:r>
      <w:r>
        <w:rPr>
          <w:rFonts w:hint="eastAsia" w:ascii="Times New Roman" w:hAnsi="Times New Roman" w:cs="Times New Roman"/>
          <w:color w:val="auto"/>
          <w:sz w:val="32"/>
          <w:szCs w:val="32"/>
          <w:u w:val="none"/>
          <w:lang w:val="en-US" w:eastAsia="zh-CN"/>
        </w:rPr>
        <w:t>不</w:t>
      </w:r>
      <w:r>
        <w:rPr>
          <w:rFonts w:hint="default" w:ascii="Times New Roman" w:hAnsi="Times New Roman" w:cs="Times New Roman"/>
          <w:color w:val="auto"/>
          <w:sz w:val="32"/>
          <w:szCs w:val="32"/>
          <w:u w:val="none"/>
          <w:lang w:val="en-US" w:eastAsia="zh-CN"/>
        </w:rPr>
        <w:t>能自行处理餐厨废弃物</w:t>
      </w:r>
      <w:r>
        <w:rPr>
          <w:rFonts w:hint="eastAsia" w:ascii="Times New Roman" w:hAnsi="Times New Roman" w:cs="Times New Roman"/>
          <w:color w:val="auto"/>
          <w:sz w:val="32"/>
          <w:szCs w:val="32"/>
          <w:u w:val="none"/>
          <w:lang w:val="en-US" w:eastAsia="zh-CN"/>
        </w:rPr>
        <w:t>，应交由符合要求的生活垃圾运输单位或者餐厨垃圾处理单位处理。不具备条件的学校应在相关部门指导下处理餐厨废弃物。</w:t>
      </w:r>
    </w:p>
    <w:p>
      <w:pPr>
        <w:keepNext w:val="0"/>
        <w:keepLines w:val="0"/>
        <w:pageBreakBefore w:val="0"/>
        <w:widowControl w:val="0"/>
        <w:numPr>
          <w:ilvl w:val="0"/>
          <w:numId w:val="26"/>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应建立餐厨垃圾处置台账，详细记录餐厨垃圾的处置时间、种类、数量、收运者等信息。</w:t>
      </w:r>
    </w:p>
    <w:p>
      <w:pPr>
        <w:pStyle w:val="12"/>
        <w:keepNext w:val="0"/>
        <w:keepLines w:val="0"/>
        <w:pageBreakBefore w:val="0"/>
        <w:widowControl w:val="0"/>
        <w:numPr>
          <w:ilvl w:val="0"/>
          <w:numId w:val="15"/>
        </w:numPr>
        <w:kinsoku/>
        <w:wordWrap/>
        <w:overflowPunct/>
        <w:topLinePunct w:val="0"/>
        <w:autoSpaceDE/>
        <w:autoSpaceDN/>
        <w:bidi w:val="0"/>
        <w:adjustRightInd/>
        <w:spacing w:line="560" w:lineRule="exact"/>
        <w:jc w:val="both"/>
        <w:textAlignment w:val="auto"/>
        <w:outlineLvl w:val="2"/>
        <w:rPr>
          <w:rFonts w:hint="default" w:ascii="Times New Roman" w:hAnsi="Times New Roman" w:eastAsia="楷体_GB2312" w:cs="Times New Roman"/>
          <w:b w:val="0"/>
          <w:bCs w:val="0"/>
          <w:color w:val="auto"/>
          <w:sz w:val="32"/>
          <w:szCs w:val="32"/>
          <w:u w:val="none"/>
          <w:lang w:val="en-US" w:eastAsia="zh-CN"/>
        </w:rPr>
      </w:pPr>
      <w:bookmarkStart w:id="163" w:name="_Toc13171"/>
      <w:bookmarkStart w:id="164" w:name="_Toc959654900"/>
      <w:r>
        <w:rPr>
          <w:rFonts w:hint="eastAsia" w:ascii="Times New Roman" w:hAnsi="Times New Roman" w:eastAsia="楷体_GB2312" w:cs="Times New Roman"/>
          <w:b w:val="0"/>
          <w:bCs w:val="0"/>
          <w:color w:val="auto"/>
          <w:sz w:val="32"/>
          <w:szCs w:val="32"/>
          <w:u w:val="none"/>
          <w:lang w:val="en-US" w:eastAsia="zh-CN"/>
        </w:rPr>
        <w:t>特殊食品和过敏原控制</w:t>
      </w:r>
      <w:bookmarkEnd w:id="163"/>
      <w:bookmarkEnd w:id="164"/>
    </w:p>
    <w:p>
      <w:pPr>
        <w:pageBreakBefore w:val="0"/>
        <w:widowControl w:val="0"/>
        <w:numPr>
          <w:ilvl w:val="0"/>
          <w:numId w:val="27"/>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特殊食品（如无麸质食品、无乳糖食品）应与普通食品分开存放，并在食品加工和供应过程中避免交叉污染。</w:t>
      </w:r>
    </w:p>
    <w:p>
      <w:pPr>
        <w:pageBreakBefore w:val="0"/>
        <w:widowControl w:val="0"/>
        <w:numPr>
          <w:ilvl w:val="0"/>
          <w:numId w:val="27"/>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可能引发过敏反应的食品（如坚果、海鲜等）应在显著位置标识，确保相关信息在餐厅和食品供应点清晰可见。</w:t>
      </w:r>
    </w:p>
    <w:p>
      <w:pPr>
        <w:pageBreakBefore w:val="0"/>
        <w:widowControl w:val="0"/>
        <w:numPr>
          <w:ilvl w:val="0"/>
          <w:numId w:val="27"/>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学校应为有特殊饮食需求的学生提供适当的替代食品，并在供应前确保这些食品符合安全标准。</w:t>
      </w:r>
    </w:p>
    <w:p>
      <w:pPr>
        <w:pageBreakBefore w:val="0"/>
        <w:widowControl w:val="0"/>
        <w:numPr>
          <w:ilvl w:val="0"/>
          <w:numId w:val="27"/>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食堂工作人员应定期接受食品安全和过敏原管理培训，掌握处理和准备特殊食品的正确方法，避免过敏原交叉污染。</w:t>
      </w:r>
    </w:p>
    <w:p>
      <w:pPr>
        <w:pageBreakBefore w:val="0"/>
        <w:widowControl w:val="0"/>
        <w:numPr>
          <w:ilvl w:val="0"/>
          <w:numId w:val="27"/>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建立过敏原控制台账，详细记录含有过敏原的食品种类、供应时间、使用食材以及相关学生的需求信息，确保信息准确无误。</w:t>
      </w:r>
    </w:p>
    <w:bookmarkEnd w:id="157"/>
    <w:bookmarkEnd w:id="158"/>
    <w:p>
      <w:pPr>
        <w:keepNext w:val="0"/>
        <w:keepLines w:val="0"/>
        <w:pageBreakBefore w:val="0"/>
        <w:widowControl w:val="0"/>
        <w:numPr>
          <w:ilvl w:val="0"/>
          <w:numId w:val="1"/>
        </w:numPr>
        <w:kinsoku/>
        <w:wordWrap/>
        <w:overflowPunct/>
        <w:topLinePunct w:val="0"/>
        <w:autoSpaceDE/>
        <w:autoSpaceDN/>
        <w:bidi w:val="0"/>
        <w:adjustRightInd/>
        <w:spacing w:line="560" w:lineRule="exact"/>
        <w:ind w:firstLine="640"/>
        <w:jc w:val="both"/>
        <w:textAlignment w:val="auto"/>
        <w:outlineLvl w:val="1"/>
        <w:rPr>
          <w:rFonts w:hint="default" w:ascii="Times New Roman" w:hAnsi="Times New Roman" w:eastAsia="方正黑体_GBK" w:cs="Times New Roman"/>
          <w:color w:val="auto"/>
          <w:sz w:val="32"/>
          <w:szCs w:val="32"/>
          <w:u w:val="none"/>
          <w:lang w:eastAsia="zh-CN"/>
        </w:rPr>
      </w:pPr>
      <w:bookmarkStart w:id="165" w:name="_Toc1102890012"/>
      <w:bookmarkStart w:id="166" w:name="_Toc712270708"/>
      <w:bookmarkStart w:id="167" w:name="_Toc542189219"/>
      <w:bookmarkStart w:id="168" w:name="_Toc1933500551"/>
      <w:bookmarkStart w:id="169" w:name="_Toc3255"/>
      <w:bookmarkStart w:id="170" w:name="_Toc630112770"/>
      <w:r>
        <w:rPr>
          <w:rFonts w:hint="default" w:ascii="Times New Roman" w:hAnsi="Times New Roman" w:eastAsia="方正黑体_GBK" w:cs="Times New Roman"/>
          <w:color w:val="auto"/>
          <w:sz w:val="32"/>
          <w:szCs w:val="32"/>
          <w:u w:val="none"/>
          <w:lang w:eastAsia="zh-CN"/>
        </w:rPr>
        <w:t>食堂承包（委托）经营及校外供餐管理</w:t>
      </w:r>
      <w:bookmarkEnd w:id="165"/>
      <w:bookmarkEnd w:id="166"/>
      <w:bookmarkEnd w:id="167"/>
      <w:bookmarkEnd w:id="168"/>
      <w:bookmarkEnd w:id="169"/>
      <w:bookmarkEnd w:id="170"/>
    </w:p>
    <w:p>
      <w:pPr>
        <w:keepNext w:val="0"/>
        <w:keepLines w:val="0"/>
        <w:pageBreakBefore w:val="0"/>
        <w:widowControl w:val="0"/>
        <w:numPr>
          <w:ilvl w:val="0"/>
          <w:numId w:val="28"/>
        </w:numPr>
        <w:kinsoku/>
        <w:wordWrap/>
        <w:overflowPunct/>
        <w:topLinePunct w:val="0"/>
        <w:autoSpaceDE/>
        <w:autoSpaceDN/>
        <w:bidi w:val="0"/>
        <w:adjustRightInd/>
        <w:spacing w:line="560" w:lineRule="exact"/>
        <w:ind w:firstLine="640" w:firstLineChars="200"/>
        <w:jc w:val="both"/>
        <w:textAlignment w:val="auto"/>
        <w:outlineLvl w:val="2"/>
        <w:rPr>
          <w:rFonts w:hint="default" w:ascii="Times New Roman" w:hAnsi="Times New Roman" w:eastAsia="楷体_GB2312" w:cs="Times New Roman"/>
          <w:color w:val="auto"/>
          <w:sz w:val="32"/>
          <w:szCs w:val="32"/>
          <w:u w:val="none"/>
          <w:lang w:eastAsia="zh-CN"/>
        </w:rPr>
      </w:pPr>
      <w:bookmarkStart w:id="171" w:name="_Toc1743724597"/>
      <w:bookmarkStart w:id="172" w:name="_Toc365181715"/>
      <w:bookmarkStart w:id="173" w:name="_Toc905881794"/>
      <w:bookmarkStart w:id="174" w:name="_Toc953370606"/>
      <w:bookmarkStart w:id="175" w:name="_Toc21249"/>
      <w:bookmarkStart w:id="176" w:name="_Toc489522762"/>
      <w:r>
        <w:rPr>
          <w:rFonts w:hint="default" w:ascii="Times New Roman" w:hAnsi="Times New Roman" w:eastAsia="楷体_GB2312" w:cs="Times New Roman"/>
          <w:color w:val="auto"/>
          <w:sz w:val="32"/>
          <w:szCs w:val="32"/>
          <w:u w:val="none"/>
          <w:lang w:eastAsia="zh-CN"/>
        </w:rPr>
        <w:t>食堂承包（委托）经营</w:t>
      </w:r>
      <w:bookmarkEnd w:id="171"/>
      <w:bookmarkEnd w:id="172"/>
      <w:bookmarkEnd w:id="173"/>
      <w:bookmarkEnd w:id="174"/>
      <w:bookmarkEnd w:id="175"/>
      <w:bookmarkEnd w:id="176"/>
    </w:p>
    <w:p>
      <w:pPr>
        <w:keepNext w:val="0"/>
        <w:keepLines w:val="0"/>
        <w:pageBreakBefore w:val="0"/>
        <w:widowControl w:val="0"/>
        <w:numPr>
          <w:ilvl w:val="0"/>
          <w:numId w:val="29"/>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rPr>
        <w:t>具备条件的中小学食堂原则上采用自营方式供餐。</w:t>
      </w:r>
    </w:p>
    <w:p>
      <w:pPr>
        <w:keepNext w:val="0"/>
        <w:keepLines w:val="0"/>
        <w:pageBreakBefore w:val="0"/>
        <w:widowControl w:val="0"/>
        <w:numPr>
          <w:ilvl w:val="0"/>
          <w:numId w:val="29"/>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rPr>
        <w:t>食堂对外承包或委托经营的，</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以招投标等方式公开选择依法取得食品经营许可、能承担食品安全责任、社会信誉良好的餐饮服务单位或者符合条件的餐饮管理单位。</w:t>
      </w:r>
      <w:r>
        <w:rPr>
          <w:rFonts w:hint="eastAsia" w:ascii="Times New Roman" w:hAnsi="Times New Roman" w:cs="Times New Roman"/>
          <w:color w:val="auto"/>
          <w:sz w:val="32"/>
          <w:szCs w:val="32"/>
          <w:u w:val="none"/>
          <w:lang w:eastAsia="zh-CN"/>
        </w:rPr>
        <w:t>食堂管理领导小组要组织充分论证，制订招标要求和质量标准，</w:t>
      </w:r>
      <w:r>
        <w:rPr>
          <w:rFonts w:hint="default" w:ascii="Times New Roman" w:hAnsi="Times New Roman" w:cs="Times New Roman"/>
          <w:color w:val="auto"/>
          <w:sz w:val="32"/>
          <w:szCs w:val="32"/>
          <w:u w:val="none"/>
        </w:rPr>
        <w:t>充分听取家长委员会</w:t>
      </w:r>
      <w:r>
        <w:rPr>
          <w:rFonts w:hint="eastAsia" w:ascii="Times New Roman" w:hAnsi="Times New Roman" w:cs="Times New Roman"/>
          <w:color w:val="auto"/>
          <w:sz w:val="32"/>
          <w:szCs w:val="32"/>
          <w:u w:val="none"/>
          <w:lang w:eastAsia="zh-CN"/>
        </w:rPr>
        <w:t>、</w:t>
      </w:r>
      <w:r>
        <w:rPr>
          <w:rFonts w:hint="default" w:ascii="Times New Roman" w:hAnsi="Times New Roman" w:cs="Times New Roman"/>
          <w:color w:val="auto"/>
          <w:sz w:val="32"/>
          <w:szCs w:val="32"/>
          <w:u w:val="none"/>
        </w:rPr>
        <w:t>学生代表</w:t>
      </w:r>
      <w:r>
        <w:rPr>
          <w:rFonts w:hint="eastAsia" w:ascii="Times New Roman" w:hAnsi="Times New Roman" w:cs="Times New Roman"/>
          <w:color w:val="auto"/>
          <w:sz w:val="32"/>
          <w:szCs w:val="32"/>
          <w:u w:val="none"/>
          <w:lang w:val="en-US" w:eastAsia="zh-CN"/>
        </w:rPr>
        <w:t>及</w:t>
      </w:r>
      <w:r>
        <w:rPr>
          <w:rFonts w:hint="default" w:ascii="Times New Roman" w:hAnsi="Times New Roman" w:cs="Times New Roman"/>
          <w:color w:val="auto"/>
          <w:sz w:val="32"/>
          <w:szCs w:val="32"/>
          <w:u w:val="none"/>
        </w:rPr>
        <w:t>教职工代表</w:t>
      </w:r>
      <w:r>
        <w:rPr>
          <w:rFonts w:hint="eastAsia" w:ascii="Times New Roman" w:hAnsi="Times New Roman" w:cs="Times New Roman"/>
          <w:color w:val="auto"/>
          <w:sz w:val="32"/>
          <w:szCs w:val="32"/>
          <w:u w:val="none"/>
          <w:lang w:eastAsia="zh-CN"/>
        </w:rPr>
        <w:t>的</w:t>
      </w:r>
      <w:r>
        <w:rPr>
          <w:rFonts w:hint="default" w:ascii="Times New Roman" w:hAnsi="Times New Roman" w:cs="Times New Roman"/>
          <w:color w:val="auto"/>
          <w:sz w:val="32"/>
          <w:szCs w:val="32"/>
          <w:u w:val="none"/>
        </w:rPr>
        <w:t>意见</w:t>
      </w:r>
      <w:r>
        <w:rPr>
          <w:rFonts w:hint="eastAsia" w:ascii="Times New Roman" w:hAnsi="Times New Roman" w:cs="Times New Roman"/>
          <w:color w:val="auto"/>
          <w:sz w:val="32"/>
          <w:szCs w:val="32"/>
          <w:u w:val="none"/>
          <w:lang w:eastAsia="zh-CN"/>
        </w:rPr>
        <w:t>，按照“三重一大”要求，由学校领导集体研究批准</w:t>
      </w:r>
      <w:r>
        <w:rPr>
          <w:rFonts w:hint="default" w:ascii="Times New Roman" w:hAnsi="Times New Roman" w:cs="Times New Roman"/>
          <w:color w:val="auto"/>
          <w:sz w:val="32"/>
          <w:szCs w:val="32"/>
          <w:u w:val="none"/>
          <w:lang w:eastAsia="zh-CN"/>
        </w:rPr>
        <w:t>。</w:t>
      </w:r>
      <w:r>
        <w:rPr>
          <w:rFonts w:hint="default" w:ascii="Times New Roman" w:hAnsi="Times New Roman" w:cs="Times New Roman"/>
          <w:color w:val="auto"/>
          <w:sz w:val="32"/>
          <w:szCs w:val="32"/>
          <w:u w:val="none"/>
        </w:rPr>
        <w:t>建立承包或委托经营评价和退出机制</w:t>
      </w:r>
      <w:r>
        <w:rPr>
          <w:rFonts w:hint="eastAsia" w:ascii="Times New Roman" w:hAnsi="Times New Roman" w:cs="Times New Roman"/>
          <w:color w:val="auto"/>
          <w:sz w:val="32"/>
          <w:szCs w:val="32"/>
          <w:u w:val="none"/>
          <w:lang w:eastAsia="zh-CN"/>
        </w:rPr>
        <w:t>，</w:t>
      </w:r>
      <w:r>
        <w:rPr>
          <w:rFonts w:hint="eastAsia" w:ascii="Times New Roman" w:hAnsi="Times New Roman" w:cs="Times New Roman"/>
          <w:color w:val="auto"/>
          <w:sz w:val="32"/>
          <w:szCs w:val="32"/>
          <w:u w:val="none"/>
          <w:lang w:val="en-US" w:eastAsia="zh-CN"/>
        </w:rPr>
        <w:t>至少每学期开展一次综合评价，对不符合质量和经营标准的，及时予以清退</w:t>
      </w:r>
      <w:r>
        <w:rPr>
          <w:rFonts w:hint="default" w:ascii="Times New Roman" w:hAnsi="Times New Roman" w:cs="Times New Roman"/>
          <w:color w:val="auto"/>
          <w:sz w:val="32"/>
          <w:szCs w:val="32"/>
          <w:u w:val="none"/>
          <w:lang w:eastAsia="zh-CN"/>
        </w:rPr>
        <w:t>。</w:t>
      </w:r>
    </w:p>
    <w:p>
      <w:pPr>
        <w:keepNext w:val="0"/>
        <w:keepLines w:val="0"/>
        <w:pageBreakBefore w:val="0"/>
        <w:widowControl w:val="0"/>
        <w:numPr>
          <w:ilvl w:val="0"/>
          <w:numId w:val="29"/>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rPr>
        <w:t>学校</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与承包方或者受委托经营方依法签订合同，明确双方在食品安全方面的权利和义务，</w:t>
      </w:r>
      <w:r>
        <w:rPr>
          <w:rFonts w:hint="eastAsia" w:ascii="Times New Roman" w:hAnsi="Times New Roman" w:cs="Times New Roman"/>
          <w:color w:val="auto"/>
          <w:sz w:val="32"/>
          <w:szCs w:val="32"/>
          <w:u w:val="none"/>
          <w:shd w:val="clear" w:fill="FFFFFF" w:themeFill="background1"/>
          <w:lang w:val="en-US" w:eastAsia="zh-CN"/>
        </w:rPr>
        <w:t>学校应</w:t>
      </w:r>
      <w:r>
        <w:rPr>
          <w:rFonts w:hint="default" w:ascii="Times New Roman" w:hAnsi="Times New Roman" w:cs="Times New Roman"/>
          <w:color w:val="auto"/>
          <w:sz w:val="32"/>
          <w:szCs w:val="32"/>
          <w:u w:val="none"/>
        </w:rPr>
        <w:t>承担管理责任，</w:t>
      </w:r>
      <w:r>
        <w:rPr>
          <w:rFonts w:hint="eastAsia" w:ascii="Times New Roman" w:hAnsi="Times New Roman" w:cs="Times New Roman"/>
          <w:color w:val="auto"/>
          <w:sz w:val="32"/>
          <w:szCs w:val="32"/>
          <w:u w:val="none"/>
          <w:lang w:val="en-US" w:eastAsia="zh-CN"/>
        </w:rPr>
        <w:t>并</w:t>
      </w:r>
      <w:r>
        <w:rPr>
          <w:rFonts w:hint="default" w:ascii="Times New Roman" w:hAnsi="Times New Roman" w:cs="Times New Roman"/>
          <w:color w:val="auto"/>
          <w:sz w:val="32"/>
          <w:szCs w:val="32"/>
          <w:u w:val="none"/>
        </w:rPr>
        <w:t>督促其落实食品安全管理制度、履行食品安全责任。</w:t>
      </w:r>
    </w:p>
    <w:p>
      <w:pPr>
        <w:keepNext w:val="0"/>
        <w:keepLines w:val="0"/>
        <w:pageBreakBefore w:val="0"/>
        <w:widowControl w:val="0"/>
        <w:numPr>
          <w:ilvl w:val="0"/>
          <w:numId w:val="29"/>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rPr>
        <w:t>承包方或者受委托经营方</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依照法律法规、食品安全标准以及合同约定进行经营，对食品安全</w:t>
      </w:r>
      <w:r>
        <w:rPr>
          <w:rFonts w:hint="eastAsia" w:ascii="Times New Roman" w:hAnsi="Times New Roman" w:cs="Times New Roman"/>
          <w:color w:val="auto"/>
          <w:sz w:val="32"/>
          <w:szCs w:val="32"/>
          <w:u w:val="none"/>
          <w:lang w:val="en-US" w:eastAsia="zh-CN"/>
        </w:rPr>
        <w:t>全面</w:t>
      </w:r>
      <w:r>
        <w:rPr>
          <w:rFonts w:hint="default" w:ascii="Times New Roman" w:hAnsi="Times New Roman" w:cs="Times New Roman"/>
          <w:color w:val="auto"/>
          <w:sz w:val="32"/>
          <w:szCs w:val="32"/>
          <w:u w:val="none"/>
        </w:rPr>
        <w:t>负责，并接受</w:t>
      </w:r>
      <w:r>
        <w:rPr>
          <w:rFonts w:hint="eastAsia" w:ascii="Times New Roman" w:hAnsi="Times New Roman" w:cs="Times New Roman"/>
          <w:color w:val="auto"/>
          <w:sz w:val="32"/>
          <w:szCs w:val="32"/>
          <w:u w:val="none"/>
          <w:lang w:val="en-US" w:eastAsia="zh-CN"/>
        </w:rPr>
        <w:t>学校</w:t>
      </w:r>
      <w:r>
        <w:rPr>
          <w:rFonts w:hint="default" w:ascii="Times New Roman" w:hAnsi="Times New Roman" w:cs="Times New Roman"/>
          <w:color w:val="auto"/>
          <w:sz w:val="32"/>
          <w:szCs w:val="32"/>
          <w:u w:val="none"/>
        </w:rPr>
        <w:t>的</w:t>
      </w:r>
      <w:r>
        <w:rPr>
          <w:rFonts w:hint="eastAsia" w:ascii="Times New Roman" w:hAnsi="Times New Roman" w:cs="Times New Roman"/>
          <w:color w:val="auto"/>
          <w:sz w:val="32"/>
          <w:szCs w:val="32"/>
          <w:u w:val="none"/>
          <w:lang w:eastAsia="zh-CN"/>
        </w:rPr>
        <w:t>管理</w:t>
      </w:r>
      <w:r>
        <w:rPr>
          <w:rFonts w:hint="default" w:ascii="Times New Roman" w:hAnsi="Times New Roman" w:cs="Times New Roman"/>
          <w:color w:val="auto"/>
          <w:sz w:val="32"/>
          <w:szCs w:val="32"/>
          <w:u w:val="none"/>
        </w:rPr>
        <w:t>。</w:t>
      </w:r>
    </w:p>
    <w:p>
      <w:pPr>
        <w:keepNext w:val="0"/>
        <w:keepLines w:val="0"/>
        <w:pageBreakBefore w:val="0"/>
        <w:widowControl w:val="0"/>
        <w:numPr>
          <w:ilvl w:val="0"/>
          <w:numId w:val="29"/>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rPr>
        <w:t>对</w:t>
      </w:r>
      <w:r>
        <w:rPr>
          <w:rFonts w:hint="eastAsia" w:ascii="Times New Roman" w:hAnsi="Times New Roman" w:cs="Times New Roman"/>
          <w:color w:val="auto"/>
          <w:sz w:val="32"/>
          <w:szCs w:val="32"/>
          <w:u w:val="none"/>
          <w:lang w:eastAsia="zh-CN"/>
        </w:rPr>
        <w:t>发生食品安全事件</w:t>
      </w:r>
      <w:r>
        <w:rPr>
          <w:rFonts w:hint="default" w:ascii="Times New Roman" w:hAnsi="Times New Roman" w:cs="Times New Roman"/>
          <w:color w:val="auto"/>
          <w:sz w:val="32"/>
          <w:szCs w:val="32"/>
          <w:u w:val="none"/>
        </w:rPr>
        <w:t>、存在食品安全问题且拒不整改或连续整改不到位的承包方或者受委托经营方，学校应及时终止承包或委托经营行为。</w:t>
      </w:r>
    </w:p>
    <w:p>
      <w:pPr>
        <w:keepNext w:val="0"/>
        <w:keepLines w:val="0"/>
        <w:pageBreakBefore w:val="0"/>
        <w:widowControl w:val="0"/>
        <w:numPr>
          <w:ilvl w:val="0"/>
          <w:numId w:val="29"/>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rPr>
        <w:t>实施营养改善计划的农村义务教育学校食堂不得对外承包或者委托经营</w:t>
      </w:r>
      <w:r>
        <w:rPr>
          <w:rFonts w:hint="eastAsia" w:ascii="Times New Roman" w:hAnsi="Times New Roman" w:cs="Times New Roman"/>
          <w:color w:val="auto"/>
          <w:sz w:val="32"/>
          <w:szCs w:val="32"/>
          <w:u w:val="none"/>
          <w:lang w:eastAsia="zh-CN"/>
        </w:rPr>
        <w:t>，</w:t>
      </w:r>
      <w:r>
        <w:rPr>
          <w:rFonts w:hint="eastAsia" w:ascii="Times New Roman" w:hAnsi="Times New Roman" w:cs="Times New Roman"/>
          <w:color w:val="auto"/>
          <w:sz w:val="32"/>
          <w:szCs w:val="32"/>
          <w:u w:val="none"/>
        </w:rPr>
        <w:t>确保食品安全和营养标准的有效实施。</w:t>
      </w:r>
    </w:p>
    <w:p>
      <w:pPr>
        <w:keepNext w:val="0"/>
        <w:keepLines w:val="0"/>
        <w:pageBreakBefore w:val="0"/>
        <w:widowControl w:val="0"/>
        <w:numPr>
          <w:ilvl w:val="0"/>
          <w:numId w:val="28"/>
        </w:numPr>
        <w:kinsoku/>
        <w:wordWrap/>
        <w:overflowPunct/>
        <w:topLinePunct w:val="0"/>
        <w:autoSpaceDE/>
        <w:autoSpaceDN/>
        <w:bidi w:val="0"/>
        <w:adjustRightInd/>
        <w:spacing w:line="560" w:lineRule="exact"/>
        <w:ind w:firstLine="640" w:firstLineChars="200"/>
        <w:jc w:val="both"/>
        <w:textAlignment w:val="auto"/>
        <w:outlineLvl w:val="2"/>
        <w:rPr>
          <w:rFonts w:hint="default" w:ascii="Times New Roman" w:hAnsi="Times New Roman" w:eastAsia="楷体_GB2312" w:cs="Times New Roman"/>
          <w:color w:val="auto"/>
          <w:sz w:val="32"/>
          <w:szCs w:val="32"/>
          <w:u w:val="none"/>
          <w:lang w:eastAsia="zh-CN"/>
        </w:rPr>
      </w:pPr>
      <w:bookmarkStart w:id="177" w:name="_Toc167347152"/>
      <w:bookmarkStart w:id="178" w:name="_Toc1841939876"/>
      <w:bookmarkStart w:id="179" w:name="_Toc30416"/>
      <w:bookmarkStart w:id="180" w:name="_Toc2089690286"/>
      <w:bookmarkStart w:id="181" w:name="_Toc1025179613"/>
      <w:bookmarkStart w:id="182" w:name="_Toc311105429"/>
      <w:r>
        <w:rPr>
          <w:rFonts w:hint="default" w:ascii="Times New Roman" w:hAnsi="Times New Roman" w:eastAsia="楷体_GB2312" w:cs="Times New Roman"/>
          <w:color w:val="auto"/>
          <w:sz w:val="32"/>
          <w:szCs w:val="32"/>
          <w:u w:val="none"/>
          <w:lang w:eastAsia="zh-CN"/>
        </w:rPr>
        <w:t>校外供餐管理</w:t>
      </w:r>
      <w:bookmarkEnd w:id="177"/>
      <w:bookmarkEnd w:id="178"/>
      <w:bookmarkEnd w:id="179"/>
      <w:bookmarkEnd w:id="180"/>
      <w:bookmarkEnd w:id="181"/>
      <w:bookmarkEnd w:id="182"/>
    </w:p>
    <w:p>
      <w:pPr>
        <w:keepNext w:val="0"/>
        <w:keepLines w:val="0"/>
        <w:pageBreakBefore w:val="0"/>
        <w:widowControl w:val="0"/>
        <w:numPr>
          <w:ilvl w:val="0"/>
          <w:numId w:val="30"/>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不具备建设食堂条件的中小学校，可通过从配餐企业订餐的形式，解决学生集中就餐需求，</w:t>
      </w:r>
      <w:r>
        <w:rPr>
          <w:rFonts w:hint="eastAsia" w:ascii="Times New Roman" w:hAnsi="Times New Roman" w:cs="Times New Roman"/>
          <w:color w:val="auto"/>
          <w:sz w:val="32"/>
          <w:szCs w:val="32"/>
          <w:u w:val="none"/>
          <w:lang w:val="en-US" w:eastAsia="zh-CN"/>
        </w:rPr>
        <w:t>保障食品安全与营养健康</w:t>
      </w:r>
      <w:r>
        <w:rPr>
          <w:rFonts w:hint="default" w:ascii="Times New Roman" w:hAnsi="Times New Roman" w:cs="Times New Roman"/>
          <w:color w:val="auto"/>
          <w:sz w:val="32"/>
          <w:szCs w:val="32"/>
          <w:u w:val="none"/>
          <w:lang w:val="en-US" w:eastAsia="zh-CN"/>
        </w:rPr>
        <w:t>。</w:t>
      </w:r>
    </w:p>
    <w:p>
      <w:pPr>
        <w:keepNext w:val="0"/>
        <w:keepLines w:val="0"/>
        <w:pageBreakBefore w:val="0"/>
        <w:widowControl w:val="0"/>
        <w:numPr>
          <w:ilvl w:val="0"/>
          <w:numId w:val="30"/>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rPr>
        <w:t>县级教育行政部门</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遵循公开、公平、公正原则，严格按照招投标程序统一组织招标，选定中标校外供餐单位，邀请学校校外供餐管理人员代表和家长代表对招标过程进行监督，委托公证机构对招标过程进行公证，</w:t>
      </w:r>
      <w:r>
        <w:rPr>
          <w:rFonts w:hint="eastAsia" w:ascii="Times New Roman" w:hAnsi="Times New Roman" w:cs="Times New Roman"/>
          <w:color w:val="auto"/>
          <w:sz w:val="32"/>
          <w:szCs w:val="32"/>
          <w:u w:val="none"/>
          <w:lang w:val="en-US" w:eastAsia="zh-CN"/>
        </w:rPr>
        <w:t>并</w:t>
      </w:r>
      <w:r>
        <w:rPr>
          <w:rFonts w:hint="default" w:ascii="Times New Roman" w:hAnsi="Times New Roman" w:cs="Times New Roman"/>
          <w:color w:val="auto"/>
          <w:sz w:val="32"/>
          <w:szCs w:val="32"/>
          <w:u w:val="none"/>
        </w:rPr>
        <w:t>公布中标的校外供餐单位名单。</w:t>
      </w:r>
    </w:p>
    <w:p>
      <w:pPr>
        <w:keepNext w:val="0"/>
        <w:keepLines w:val="0"/>
        <w:pageBreakBefore w:val="0"/>
        <w:widowControl w:val="0"/>
        <w:numPr>
          <w:ilvl w:val="0"/>
          <w:numId w:val="30"/>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rPr>
        <w:t>县级教育行政部门指导监督本行政区域内的学校校外供餐管理工作，会同市场监管、卫生健康、公安等相关部门建立健全学校校外供餐管理制度，开展对学校校外供餐单位的监督检查和学校食品安全事故</w:t>
      </w:r>
      <w:r>
        <w:rPr>
          <w:rFonts w:hint="eastAsia" w:ascii="Times New Roman" w:hAnsi="Times New Roman" w:cs="Times New Roman"/>
          <w:color w:val="auto"/>
          <w:sz w:val="32"/>
          <w:szCs w:val="32"/>
          <w:u w:val="none"/>
          <w:lang w:eastAsia="zh-CN"/>
        </w:rPr>
        <w:t>处置</w:t>
      </w:r>
      <w:r>
        <w:rPr>
          <w:rFonts w:hint="default" w:ascii="Times New Roman" w:hAnsi="Times New Roman" w:cs="Times New Roman"/>
          <w:color w:val="auto"/>
          <w:sz w:val="32"/>
          <w:szCs w:val="32"/>
          <w:u w:val="none"/>
        </w:rPr>
        <w:t>。</w:t>
      </w:r>
    </w:p>
    <w:p>
      <w:pPr>
        <w:keepNext w:val="0"/>
        <w:keepLines w:val="0"/>
        <w:pageBreakBefore w:val="0"/>
        <w:widowControl w:val="0"/>
        <w:numPr>
          <w:ilvl w:val="0"/>
          <w:numId w:val="30"/>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eastAsia" w:ascii="Times New Roman" w:hAnsi="Times New Roman" w:cs="Times New Roman"/>
          <w:color w:val="auto"/>
          <w:sz w:val="32"/>
          <w:szCs w:val="32"/>
          <w:u w:val="none"/>
          <w:lang w:eastAsia="zh-CN"/>
        </w:rPr>
        <w:t>校外</w:t>
      </w:r>
      <w:r>
        <w:rPr>
          <w:rFonts w:hint="default" w:ascii="Times New Roman" w:hAnsi="Times New Roman" w:cs="Times New Roman"/>
          <w:color w:val="auto"/>
          <w:sz w:val="32"/>
          <w:szCs w:val="32"/>
          <w:u w:val="none"/>
        </w:rPr>
        <w:t>供餐单位应</w:t>
      </w:r>
      <w:r>
        <w:rPr>
          <w:rFonts w:hint="eastAsia" w:ascii="Times New Roman" w:hAnsi="Times New Roman" w:cs="Times New Roman"/>
          <w:color w:val="auto"/>
          <w:sz w:val="32"/>
          <w:szCs w:val="32"/>
          <w:u w:val="none"/>
          <w:lang w:val="en-US" w:eastAsia="zh-CN"/>
        </w:rPr>
        <w:t>具备</w:t>
      </w:r>
      <w:r>
        <w:rPr>
          <w:rFonts w:hint="default" w:ascii="Times New Roman" w:hAnsi="Times New Roman" w:cs="Times New Roman"/>
          <w:color w:val="auto"/>
          <w:sz w:val="32"/>
          <w:szCs w:val="32"/>
          <w:u w:val="none"/>
        </w:rPr>
        <w:t>食品经营许可和集体用餐配送资质</w:t>
      </w:r>
      <w:r>
        <w:rPr>
          <w:rFonts w:hint="eastAsia" w:ascii="Times New Roman" w:hAnsi="Times New Roman" w:cs="Times New Roman"/>
          <w:color w:val="auto"/>
          <w:sz w:val="32"/>
          <w:szCs w:val="32"/>
          <w:u w:val="none"/>
          <w:lang w:eastAsia="zh-CN"/>
        </w:rPr>
        <w:t>，</w:t>
      </w:r>
      <w:r>
        <w:rPr>
          <w:rFonts w:hint="default" w:ascii="Times New Roman" w:hAnsi="Times New Roman" w:cs="Times New Roman"/>
          <w:color w:val="auto"/>
          <w:sz w:val="32"/>
          <w:szCs w:val="32"/>
          <w:u w:val="none"/>
        </w:rPr>
        <w:t>能承担食品安全责任</w:t>
      </w:r>
      <w:r>
        <w:rPr>
          <w:rFonts w:hint="eastAsia" w:ascii="Times New Roman" w:hAnsi="Times New Roman" w:cs="Times New Roman"/>
          <w:color w:val="auto"/>
          <w:sz w:val="32"/>
          <w:szCs w:val="32"/>
          <w:u w:val="none"/>
          <w:lang w:eastAsia="zh-CN"/>
        </w:rPr>
        <w:t>，</w:t>
      </w:r>
      <w:r>
        <w:rPr>
          <w:rFonts w:hint="default" w:ascii="Times New Roman" w:hAnsi="Times New Roman" w:cs="Times New Roman"/>
          <w:color w:val="auto"/>
          <w:sz w:val="32"/>
          <w:szCs w:val="32"/>
          <w:u w:val="none"/>
        </w:rPr>
        <w:t>社会信誉良好。优先选择通过HACCP、ISO22000等先进管理体系的单位。</w:t>
      </w:r>
    </w:p>
    <w:p>
      <w:pPr>
        <w:keepNext w:val="0"/>
        <w:keepLines w:val="0"/>
        <w:pageBreakBefore w:val="0"/>
        <w:widowControl w:val="0"/>
        <w:numPr>
          <w:ilvl w:val="0"/>
          <w:numId w:val="30"/>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rPr>
        <w:t>学校</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组织本校管理人员</w:t>
      </w:r>
      <w:r>
        <w:rPr>
          <w:rFonts w:hint="eastAsia" w:ascii="Times New Roman" w:hAnsi="Times New Roman" w:cs="Times New Roman"/>
          <w:color w:val="auto"/>
          <w:sz w:val="32"/>
          <w:szCs w:val="32"/>
          <w:u w:val="none"/>
          <w:lang w:eastAsia="zh-CN"/>
        </w:rPr>
        <w:t>、师生代表</w:t>
      </w:r>
      <w:r>
        <w:rPr>
          <w:rFonts w:hint="default" w:ascii="Times New Roman" w:hAnsi="Times New Roman" w:cs="Times New Roman"/>
          <w:color w:val="auto"/>
          <w:sz w:val="32"/>
          <w:szCs w:val="32"/>
          <w:u w:val="none"/>
        </w:rPr>
        <w:t>和家长代表，从县级教育行政部门公开招标选定的校外供餐单位名单中，投票选定本校的校外供餐单位，并对校外供餐单位进行实地考察</w:t>
      </w:r>
      <w:r>
        <w:rPr>
          <w:rFonts w:hint="eastAsia" w:ascii="Times New Roman" w:hAnsi="Times New Roman" w:cs="Times New Roman"/>
          <w:color w:val="auto"/>
          <w:sz w:val="32"/>
          <w:szCs w:val="32"/>
          <w:u w:val="none"/>
          <w:lang w:eastAsia="zh-CN"/>
        </w:rPr>
        <w:t>，</w:t>
      </w:r>
      <w:r>
        <w:rPr>
          <w:rFonts w:hint="eastAsia" w:cs="仿宋_GB2312"/>
          <w:sz w:val="32"/>
          <w:szCs w:val="32"/>
          <w:lang w:val="en-US" w:eastAsia="zh-CN"/>
        </w:rPr>
        <w:t>对发现有违反食品安全法律法规等行为的，应重新选定校外供餐单位，及时启动清退机制</w:t>
      </w:r>
      <w:r>
        <w:rPr>
          <w:rFonts w:hint="eastAsia" w:ascii="Times New Roman" w:hAnsi="Times New Roman" w:cs="仿宋_GB2312"/>
          <w:snapToGrid w:val="0"/>
          <w:color w:val="000000"/>
          <w:sz w:val="32"/>
          <w:szCs w:val="32"/>
          <w:lang w:val="en-US" w:eastAsia="zh-CN"/>
        </w:rPr>
        <w:t>。</w:t>
      </w:r>
    </w:p>
    <w:p>
      <w:pPr>
        <w:keepNext w:val="0"/>
        <w:keepLines w:val="0"/>
        <w:pageBreakBefore w:val="0"/>
        <w:widowControl w:val="0"/>
        <w:numPr>
          <w:ilvl w:val="0"/>
          <w:numId w:val="30"/>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rPr>
        <w:t>学校</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完善校外供餐管理制度</w:t>
      </w:r>
      <w:r>
        <w:rPr>
          <w:rFonts w:hint="default" w:ascii="Times New Roman" w:hAnsi="Times New Roman" w:cs="Times New Roman"/>
          <w:color w:val="auto"/>
          <w:sz w:val="32"/>
          <w:szCs w:val="32"/>
          <w:u w:val="none"/>
          <w:lang w:eastAsia="zh-CN"/>
        </w:rPr>
        <w:t>和</w:t>
      </w:r>
      <w:r>
        <w:rPr>
          <w:rFonts w:hint="default" w:ascii="Times New Roman" w:hAnsi="Times New Roman" w:cs="Times New Roman"/>
          <w:color w:val="auto"/>
          <w:sz w:val="32"/>
          <w:szCs w:val="32"/>
          <w:u w:val="none"/>
        </w:rPr>
        <w:t>措施，配备专（兼）职供餐管理人员</w:t>
      </w:r>
      <w:r>
        <w:rPr>
          <w:rFonts w:hint="default" w:ascii="Times New Roman" w:hAnsi="Times New Roman" w:cs="Times New Roman"/>
          <w:color w:val="auto"/>
          <w:sz w:val="32"/>
          <w:szCs w:val="32"/>
          <w:u w:val="none"/>
          <w:lang w:eastAsia="zh-CN"/>
        </w:rPr>
        <w:t>，</w:t>
      </w:r>
      <w:r>
        <w:rPr>
          <w:rFonts w:hint="default" w:ascii="Times New Roman" w:hAnsi="Times New Roman" w:cs="Times New Roman"/>
          <w:color w:val="auto"/>
          <w:sz w:val="32"/>
          <w:szCs w:val="32"/>
          <w:u w:val="none"/>
        </w:rPr>
        <w:t>负责配送食品的接收</w:t>
      </w:r>
      <w:r>
        <w:rPr>
          <w:rFonts w:hint="default" w:ascii="Times New Roman" w:hAnsi="Times New Roman" w:cs="Times New Roman"/>
          <w:color w:val="auto"/>
          <w:sz w:val="32"/>
          <w:szCs w:val="32"/>
          <w:u w:val="none"/>
          <w:lang w:eastAsia="zh-CN"/>
        </w:rPr>
        <w:t>、</w:t>
      </w:r>
      <w:r>
        <w:rPr>
          <w:rFonts w:hint="default" w:ascii="Times New Roman" w:hAnsi="Times New Roman" w:cs="Times New Roman"/>
          <w:color w:val="auto"/>
          <w:sz w:val="32"/>
          <w:szCs w:val="32"/>
          <w:u w:val="none"/>
        </w:rPr>
        <w:t>查验</w:t>
      </w:r>
      <w:r>
        <w:rPr>
          <w:rFonts w:hint="default" w:ascii="Times New Roman" w:hAnsi="Times New Roman" w:cs="Times New Roman"/>
          <w:color w:val="auto"/>
          <w:sz w:val="32"/>
          <w:szCs w:val="32"/>
          <w:u w:val="none"/>
          <w:lang w:eastAsia="zh-CN"/>
        </w:rPr>
        <w:t>、留样等</w:t>
      </w:r>
      <w:r>
        <w:rPr>
          <w:rFonts w:hint="default" w:ascii="Times New Roman" w:hAnsi="Times New Roman" w:cs="Times New Roman"/>
          <w:color w:val="auto"/>
          <w:sz w:val="32"/>
          <w:szCs w:val="32"/>
          <w:u w:val="none"/>
        </w:rPr>
        <w:t>工作</w:t>
      </w:r>
      <w:r>
        <w:rPr>
          <w:rFonts w:hint="eastAsia" w:ascii="Times New Roman" w:hAnsi="Times New Roman" w:cs="Times New Roman"/>
          <w:color w:val="auto"/>
          <w:sz w:val="32"/>
          <w:szCs w:val="32"/>
          <w:u w:val="none"/>
          <w:lang w:eastAsia="zh-CN"/>
        </w:rPr>
        <w:t>，</w:t>
      </w:r>
      <w:r>
        <w:rPr>
          <w:rFonts w:hint="eastAsia" w:ascii="Times New Roman" w:hAnsi="Times New Roman" w:cs="Times New Roman"/>
          <w:color w:val="auto"/>
          <w:sz w:val="32"/>
          <w:szCs w:val="32"/>
          <w:u w:val="none"/>
          <w:lang w:val="en-US" w:eastAsia="zh-CN"/>
        </w:rPr>
        <w:t>确保食品安全管理的全过程控制</w:t>
      </w:r>
      <w:r>
        <w:rPr>
          <w:rFonts w:hint="default" w:ascii="Times New Roman" w:hAnsi="Times New Roman" w:cs="Times New Roman"/>
          <w:color w:val="auto"/>
          <w:sz w:val="32"/>
          <w:szCs w:val="32"/>
          <w:u w:val="none"/>
          <w:lang w:eastAsia="zh-CN"/>
        </w:rPr>
        <w:t>。</w:t>
      </w:r>
    </w:p>
    <w:p>
      <w:pPr>
        <w:keepNext w:val="0"/>
        <w:keepLines w:val="0"/>
        <w:pageBreakBefore w:val="0"/>
        <w:widowControl w:val="0"/>
        <w:numPr>
          <w:ilvl w:val="0"/>
          <w:numId w:val="30"/>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rPr>
        <w:t>学校</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建立校外供餐单位评价和退出机制，对落实食品安全主体责任不到位</w:t>
      </w:r>
      <w:r>
        <w:rPr>
          <w:rFonts w:hint="eastAsia" w:ascii="Times New Roman" w:hAnsi="Times New Roman" w:cs="Times New Roman"/>
          <w:color w:val="auto"/>
          <w:sz w:val="32"/>
          <w:szCs w:val="32"/>
          <w:u w:val="none"/>
          <w:lang w:val="en-US" w:eastAsia="zh-CN"/>
        </w:rPr>
        <w:t>或</w:t>
      </w:r>
      <w:r>
        <w:rPr>
          <w:rFonts w:hint="default" w:ascii="Times New Roman" w:hAnsi="Times New Roman" w:cs="Times New Roman"/>
          <w:color w:val="auto"/>
          <w:sz w:val="32"/>
          <w:szCs w:val="32"/>
          <w:u w:val="none"/>
        </w:rPr>
        <w:t>多次发生食品安全事故的校外供餐单位，要及时终止合同（或协议），</w:t>
      </w:r>
      <w:r>
        <w:rPr>
          <w:rFonts w:hint="eastAsia" w:ascii="Times New Roman" w:hAnsi="Times New Roman" w:cs="Times New Roman"/>
          <w:color w:val="auto"/>
          <w:sz w:val="32"/>
          <w:szCs w:val="32"/>
          <w:u w:val="none"/>
          <w:lang w:val="en-US" w:eastAsia="zh-CN"/>
        </w:rPr>
        <w:t>并向</w:t>
      </w:r>
      <w:r>
        <w:rPr>
          <w:rFonts w:hint="default" w:ascii="Times New Roman" w:hAnsi="Times New Roman" w:cs="Times New Roman"/>
          <w:color w:val="auto"/>
          <w:sz w:val="32"/>
          <w:szCs w:val="32"/>
          <w:u w:val="none"/>
        </w:rPr>
        <w:t>属地</w:t>
      </w:r>
      <w:r>
        <w:rPr>
          <w:rFonts w:hint="eastAsia" w:ascii="Times New Roman" w:hAnsi="Times New Roman" w:cs="Times New Roman"/>
          <w:color w:val="auto"/>
          <w:sz w:val="32"/>
          <w:szCs w:val="32"/>
          <w:u w:val="none"/>
          <w:lang w:eastAsia="zh-CN"/>
        </w:rPr>
        <w:t>教育行政部门</w:t>
      </w:r>
      <w:r>
        <w:rPr>
          <w:rFonts w:hint="eastAsia" w:ascii="Times New Roman" w:hAnsi="Times New Roman" w:cs="Times New Roman"/>
          <w:color w:val="auto"/>
          <w:sz w:val="32"/>
          <w:szCs w:val="32"/>
          <w:u w:val="none"/>
          <w:lang w:val="en-US" w:eastAsia="zh-CN"/>
        </w:rPr>
        <w:t>和</w:t>
      </w:r>
      <w:r>
        <w:rPr>
          <w:rFonts w:hint="default" w:ascii="Times New Roman" w:hAnsi="Times New Roman" w:cs="Times New Roman"/>
          <w:color w:val="auto"/>
          <w:sz w:val="32"/>
          <w:szCs w:val="32"/>
          <w:u w:val="none"/>
        </w:rPr>
        <w:t>市场监管</w:t>
      </w:r>
      <w:r>
        <w:rPr>
          <w:rFonts w:hint="eastAsia" w:ascii="Times New Roman" w:hAnsi="Times New Roman" w:cs="Times New Roman"/>
          <w:color w:val="auto"/>
          <w:sz w:val="32"/>
          <w:szCs w:val="32"/>
          <w:u w:val="none"/>
          <w:lang w:eastAsia="zh-CN"/>
        </w:rPr>
        <w:t>部门</w:t>
      </w:r>
      <w:r>
        <w:rPr>
          <w:rFonts w:hint="default" w:ascii="Times New Roman" w:hAnsi="Times New Roman" w:cs="Times New Roman"/>
          <w:color w:val="auto"/>
          <w:sz w:val="32"/>
          <w:szCs w:val="32"/>
          <w:u w:val="none"/>
        </w:rPr>
        <w:t>报告。</w:t>
      </w: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bookmarkStart w:id="183" w:name="_Toc1504106307"/>
      <w:bookmarkStart w:id="184" w:name="_Toc455099685"/>
      <w:bookmarkStart w:id="185" w:name="_Toc1803564128"/>
      <w:bookmarkStart w:id="186" w:name="_Toc346873038"/>
      <w:bookmarkStart w:id="187" w:name="_Toc170218127"/>
      <w:bookmarkStart w:id="188" w:name="_Toc7313"/>
      <w:bookmarkStart w:id="189" w:name="_Toc170249671"/>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9"/>
        <w:rPr>
          <w:rFonts w:hint="default" w:ascii="Times New Roman" w:hAnsi="Times New Roman" w:eastAsia="方正小标宋简体" w:cs="Times New Roman"/>
          <w:color w:val="auto"/>
          <w:sz w:val="36"/>
          <w:szCs w:val="36"/>
          <w:u w:val="none"/>
          <w:lang w:val="en-US" w:eastAsia="zh-CN"/>
        </w:rPr>
        <w:sectPr>
          <w:footerReference r:id="rId8" w:type="default"/>
          <w:pgSz w:w="11906" w:h="16838"/>
          <w:pgMar w:top="1440" w:right="1800" w:bottom="1440" w:left="1800" w:header="851" w:footer="992" w:gutter="0"/>
          <w:pgNumType w:fmt="decimal" w:start="1"/>
          <w:cols w:space="425" w:num="1"/>
          <w:docGrid w:type="lines" w:linePitch="312" w:charSpace="0"/>
        </w:sectPr>
      </w:pPr>
    </w:p>
    <w:p>
      <w:pPr>
        <w:pStyle w:val="5"/>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0"/>
        <w:rPr>
          <w:rFonts w:hint="default" w:ascii="Times New Roman" w:hAnsi="Times New Roman" w:eastAsia="方正小标宋简体" w:cs="Times New Roman"/>
          <w:color w:val="auto"/>
          <w:sz w:val="36"/>
          <w:szCs w:val="36"/>
          <w:u w:val="none"/>
          <w:lang w:val="en-US" w:eastAsia="zh-CN"/>
        </w:rPr>
      </w:pPr>
      <w:bookmarkStart w:id="190" w:name="_Toc699556807"/>
      <w:bookmarkStart w:id="191" w:name="_Toc8333"/>
      <w:r>
        <w:rPr>
          <w:rFonts w:hint="default" w:ascii="Times New Roman" w:hAnsi="Times New Roman" w:eastAsia="方正小标宋简体" w:cs="Times New Roman"/>
          <w:color w:val="auto"/>
          <w:sz w:val="36"/>
          <w:szCs w:val="36"/>
          <w:u w:val="none"/>
          <w:lang w:val="en-US" w:eastAsia="zh-CN"/>
        </w:rPr>
        <w:t>第二章  膳食经费管理</w:t>
      </w:r>
      <w:bookmarkEnd w:id="183"/>
      <w:bookmarkEnd w:id="184"/>
      <w:bookmarkEnd w:id="185"/>
      <w:bookmarkEnd w:id="186"/>
      <w:bookmarkEnd w:id="190"/>
      <w:bookmarkEnd w:id="191"/>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lang w:val="en-US" w:eastAsia="zh-CN"/>
        </w:rPr>
      </w:pPr>
    </w:p>
    <w:p>
      <w:pPr>
        <w:numPr>
          <w:ilvl w:val="0"/>
          <w:numId w:val="31"/>
        </w:numPr>
        <w:spacing w:line="560" w:lineRule="exact"/>
        <w:ind w:firstLine="640"/>
        <w:outlineLvl w:val="1"/>
        <w:rPr>
          <w:rFonts w:ascii="Times New Roman" w:hAnsi="Times New Roman" w:eastAsia="方正黑体_GBK" w:cs="Times New Roman"/>
          <w:szCs w:val="32"/>
        </w:rPr>
      </w:pPr>
      <w:bookmarkStart w:id="192" w:name="_Toc1104425785"/>
      <w:bookmarkStart w:id="193" w:name="_Toc14407"/>
      <w:bookmarkStart w:id="194" w:name="_Toc472826872"/>
      <w:bookmarkStart w:id="195" w:name="_Toc522659364"/>
      <w:bookmarkStart w:id="196" w:name="_Toc1161776961"/>
      <w:bookmarkStart w:id="197" w:name="_Toc1060048565"/>
      <w:bookmarkStart w:id="198" w:name="_Toc495190220"/>
      <w:bookmarkStart w:id="199" w:name="_Toc575714562"/>
      <w:bookmarkStart w:id="200" w:name="_Toc850021536"/>
      <w:bookmarkStart w:id="201" w:name="_Toc126498345"/>
      <w:r>
        <w:rPr>
          <w:rFonts w:ascii="Times New Roman" w:hAnsi="Times New Roman" w:eastAsia="方正黑体_GBK" w:cs="Times New Roman"/>
          <w:szCs w:val="32"/>
        </w:rPr>
        <w:t>一般要求</w:t>
      </w:r>
      <w:bookmarkEnd w:id="192"/>
      <w:bookmarkEnd w:id="193"/>
      <w:bookmarkEnd w:id="194"/>
      <w:bookmarkEnd w:id="195"/>
      <w:bookmarkEnd w:id="196"/>
      <w:bookmarkEnd w:id="197"/>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工作责任制：</w:t>
      </w:r>
      <w:r>
        <w:rPr>
          <w:rFonts w:ascii="Times New Roman" w:hAnsi="Times New Roman" w:cs="Times New Roman"/>
          <w:szCs w:val="32"/>
        </w:rPr>
        <w:t>中小学校自营食堂财务管理实行党组织领导的校长负责制，校长在学校党组织领导下，依法依规管理学校食堂财务工作，对自主经营食堂的会计工作和会计资料的真实性、完整性负责。</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财务管理岗位设置要求：</w:t>
      </w:r>
      <w:r>
        <w:rPr>
          <w:rFonts w:ascii="Times New Roman" w:hAnsi="Times New Roman" w:cs="Times New Roman"/>
          <w:szCs w:val="32"/>
        </w:rPr>
        <w:t>食堂财务管理应分别设置专（兼）职会计、出纳</w:t>
      </w:r>
      <w:r>
        <w:rPr>
          <w:rFonts w:hint="eastAsia" w:ascii="Times New Roman" w:hAnsi="Times New Roman" w:cs="Times New Roman"/>
          <w:szCs w:val="32"/>
        </w:rPr>
        <w:t>员</w:t>
      </w:r>
      <w:r>
        <w:rPr>
          <w:rFonts w:ascii="Times New Roman" w:hAnsi="Times New Roman" w:cs="Times New Roman"/>
          <w:szCs w:val="32"/>
        </w:rPr>
        <w:t>、库房管</w:t>
      </w:r>
      <w:r>
        <w:rPr>
          <w:rFonts w:hint="eastAsia" w:ascii="Times New Roman" w:hAnsi="Times New Roman" w:cs="Times New Roman"/>
          <w:szCs w:val="32"/>
        </w:rPr>
        <w:t>理</w:t>
      </w:r>
      <w:r>
        <w:rPr>
          <w:rFonts w:ascii="Times New Roman" w:hAnsi="Times New Roman" w:cs="Times New Roman"/>
          <w:szCs w:val="32"/>
        </w:rPr>
        <w:t>员等工作岗位，建立食堂财务人员岗位责任制，明确职责和权限，各司其职，相互监督。出纳员不得兼任稽核、会计档案保管和收入、费用、债权、债务账目的登记工作；银行印鉴由出纳、会计（或食堂负责人）分别保管。食堂负责人或财务主管人员要定期或不定期抽查出纳员库存现金，核对银行存款。</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非独立法人学校食堂财务管理：</w:t>
      </w:r>
      <w:r>
        <w:rPr>
          <w:rFonts w:ascii="Times New Roman" w:hAnsi="Times New Roman" w:cs="Times New Roman"/>
          <w:szCs w:val="32"/>
        </w:rPr>
        <w:t>中小学校分校（校区）、集团化办学模式下的成员校、乡村教学点等不具有独立法人资格的学校食堂财务应纳入其所隶属的总校（中心校）统一管理，实行</w:t>
      </w:r>
      <w:r>
        <w:rPr>
          <w:rFonts w:hint="eastAsia" w:ascii="仿宋_GB2312" w:hAnsi="仿宋_GB2312" w:cs="仿宋_GB2312"/>
          <w:szCs w:val="32"/>
        </w:rPr>
        <w:t>“集中记账，分校核算”</w:t>
      </w:r>
      <w:r>
        <w:rPr>
          <w:rFonts w:ascii="Times New Roman" w:hAnsi="Times New Roman" w:cs="Times New Roman"/>
          <w:szCs w:val="32"/>
        </w:rPr>
        <w:t>财务管理模式，设置食堂报账员、库房管理员岗位，并配备相应财会人员。</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食堂财务风险预警和内控机制：</w:t>
      </w:r>
      <w:r>
        <w:rPr>
          <w:rFonts w:ascii="Times New Roman" w:hAnsi="Times New Roman" w:cs="Times New Roman"/>
          <w:szCs w:val="32"/>
        </w:rPr>
        <w:t>中小学校</w:t>
      </w:r>
      <w:r>
        <w:rPr>
          <w:rFonts w:hint="eastAsia" w:ascii="Times New Roman" w:hAnsi="Times New Roman" w:cs="Times New Roman"/>
          <w:szCs w:val="32"/>
        </w:rPr>
        <w:t>应</w:t>
      </w:r>
      <w:r>
        <w:rPr>
          <w:rFonts w:ascii="Times New Roman" w:hAnsi="Times New Roman" w:cs="Times New Roman"/>
          <w:szCs w:val="32"/>
        </w:rPr>
        <w:t>建立健全食堂财务风险预警和内部控制机制，规范和加强食堂财务收入支出和资产负债的管理。中小学校食堂不得提供担保，不得替学校及政府有关部门举借债务。</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食堂建账：</w:t>
      </w:r>
      <w:r>
        <w:rPr>
          <w:rFonts w:ascii="Times New Roman" w:hAnsi="Times New Roman" w:cs="Times New Roman"/>
          <w:szCs w:val="32"/>
        </w:rPr>
        <w:t>自主经营的中小学校食堂需</w:t>
      </w:r>
      <w:r>
        <w:rPr>
          <w:rFonts w:hint="eastAsia" w:ascii="Times New Roman" w:hAnsi="Times New Roman" w:cs="Times New Roman"/>
          <w:szCs w:val="32"/>
        </w:rPr>
        <w:t>独立</w:t>
      </w:r>
      <w:r>
        <w:rPr>
          <w:rFonts w:ascii="Times New Roman" w:hAnsi="Times New Roman" w:cs="Times New Roman"/>
          <w:szCs w:val="32"/>
        </w:rPr>
        <w:t>开展会计核算。</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饭菜定价：</w:t>
      </w:r>
      <w:r>
        <w:rPr>
          <w:rFonts w:ascii="Times New Roman" w:hAnsi="Times New Roman" w:cs="Times New Roman"/>
          <w:szCs w:val="32"/>
        </w:rPr>
        <w:t>中小学校饭菜价格标准应</w:t>
      </w:r>
      <w:r>
        <w:rPr>
          <w:rFonts w:hint="eastAsia" w:ascii="Times New Roman" w:hAnsi="Times New Roman" w:cs="Times New Roman"/>
          <w:szCs w:val="32"/>
        </w:rPr>
        <w:t>遵循</w:t>
      </w:r>
      <w:r>
        <w:rPr>
          <w:rFonts w:ascii="Times New Roman" w:hAnsi="Times New Roman" w:cs="Times New Roman"/>
          <w:szCs w:val="32"/>
        </w:rPr>
        <w:t>成本补偿和非营利原则，经学校</w:t>
      </w:r>
      <w:r>
        <w:rPr>
          <w:rFonts w:hint="eastAsia" w:ascii="Times New Roman" w:hAnsi="Times New Roman" w:cs="Times New Roman"/>
          <w:szCs w:val="32"/>
          <w:lang w:eastAsia="zh-CN"/>
        </w:rPr>
        <w:t>食堂管理领导小组</w:t>
      </w:r>
      <w:r>
        <w:rPr>
          <w:rFonts w:ascii="Times New Roman" w:hAnsi="Times New Roman" w:cs="Times New Roman"/>
          <w:szCs w:val="32"/>
        </w:rPr>
        <w:t>集体研究制定，并实行价格公示制度。</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食堂收入：</w:t>
      </w:r>
      <w:r>
        <w:rPr>
          <w:rFonts w:ascii="Times New Roman" w:hAnsi="Times New Roman" w:cs="Times New Roman"/>
          <w:szCs w:val="32"/>
        </w:rPr>
        <w:t>食堂收入包括财政补助收入、伙食费收入、捐赠收入、其他收入等。不得将学校的店面承包收入、房租收入、其他非食堂经营服务收入转入食堂收入。不得转移食堂收入</w:t>
      </w:r>
      <w:r>
        <w:rPr>
          <w:rFonts w:hint="eastAsia" w:ascii="Times New Roman" w:hAnsi="Times New Roman" w:cs="Times New Roman"/>
          <w:szCs w:val="32"/>
        </w:rPr>
        <w:t>，</w:t>
      </w:r>
      <w:r>
        <w:rPr>
          <w:rFonts w:ascii="Times New Roman" w:hAnsi="Times New Roman" w:cs="Times New Roman"/>
          <w:szCs w:val="32"/>
        </w:rPr>
        <w:t>严禁挪用食堂资金或设立</w:t>
      </w:r>
      <w:r>
        <w:rPr>
          <w:rFonts w:hint="eastAsia" w:ascii="仿宋_GB2312" w:hAnsi="仿宋_GB2312" w:cs="仿宋_GB2312"/>
          <w:szCs w:val="32"/>
        </w:rPr>
        <w:t>“小金库”</w:t>
      </w:r>
      <w:r>
        <w:rPr>
          <w:rFonts w:ascii="Times New Roman" w:hAnsi="Times New Roman" w:cs="Times New Roman"/>
          <w:szCs w:val="32"/>
        </w:rPr>
        <w:t>。</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伙食费收取：</w:t>
      </w:r>
      <w:r>
        <w:rPr>
          <w:rFonts w:ascii="Times New Roman" w:hAnsi="Times New Roman" w:cs="Times New Roman"/>
          <w:szCs w:val="32"/>
        </w:rPr>
        <w:t>学校收取伙食费应积极推行网上缴费方式，由学生家长或学生直接将伙食费缴入学校指定的银行账户，不得转入个人账户，不得公款私存。伙食费不得由老师、家委会、</w:t>
      </w:r>
      <w:r>
        <w:rPr>
          <w:rFonts w:hint="eastAsia" w:ascii="Times New Roman" w:hAnsi="Times New Roman" w:cs="Times New Roman"/>
          <w:szCs w:val="32"/>
          <w:lang w:eastAsia="zh-CN"/>
        </w:rPr>
        <w:t>食堂管理领导小组</w:t>
      </w:r>
      <w:r>
        <w:rPr>
          <w:rFonts w:ascii="Times New Roman" w:hAnsi="Times New Roman" w:cs="Times New Roman"/>
          <w:szCs w:val="32"/>
        </w:rPr>
        <w:t>等集体或个人收取。</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伙食费代收：</w:t>
      </w:r>
      <w:r>
        <w:rPr>
          <w:rFonts w:ascii="Times New Roman" w:hAnsi="Times New Roman" w:cs="Times New Roman"/>
          <w:szCs w:val="32"/>
        </w:rPr>
        <w:t>实行配餐或托餐方式供餐的中小学校，伙食费可由学校统一收取并按照代收费管理。收取的伙食费上交学校指定银行账户。严禁任何部门、单位和个人以任何理由截留、挤占、挪用伙食费资金。</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教职工餐费收取：</w:t>
      </w:r>
      <w:r>
        <w:rPr>
          <w:rFonts w:ascii="Times New Roman" w:hAnsi="Times New Roman" w:cs="Times New Roman"/>
          <w:szCs w:val="32"/>
        </w:rPr>
        <w:t>教职工在学生食堂就餐，应</w:t>
      </w:r>
      <w:r>
        <w:rPr>
          <w:rFonts w:hint="eastAsia" w:ascii="Times New Roman" w:hAnsi="Times New Roman" w:cs="Times New Roman"/>
          <w:szCs w:val="32"/>
        </w:rPr>
        <w:t>按照</w:t>
      </w:r>
      <w:r>
        <w:rPr>
          <w:rFonts w:ascii="Times New Roman" w:hAnsi="Times New Roman" w:cs="Times New Roman"/>
          <w:szCs w:val="32"/>
        </w:rPr>
        <w:t>与学生同菜同价原则，据实缴纳伙食费，不得侵占学生利益。</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自主经营食堂运行经费来源：</w:t>
      </w:r>
      <w:r>
        <w:rPr>
          <w:rFonts w:ascii="Times New Roman" w:hAnsi="Times New Roman" w:cs="Times New Roman"/>
          <w:szCs w:val="32"/>
        </w:rPr>
        <w:t>未实施营养改善计划的学校</w:t>
      </w:r>
      <w:r>
        <w:rPr>
          <w:rFonts w:hint="eastAsia" w:ascii="Times New Roman" w:hAnsi="Times New Roman" w:cs="Times New Roman"/>
          <w:szCs w:val="32"/>
        </w:rPr>
        <w:t>，其</w:t>
      </w:r>
      <w:r>
        <w:rPr>
          <w:rFonts w:ascii="Times New Roman" w:hAnsi="Times New Roman" w:cs="Times New Roman"/>
          <w:szCs w:val="32"/>
        </w:rPr>
        <w:t>自主经营食堂（伙房）发生的水电煤气等日常运行经费可从收取的伙食费中列支。</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伙食费收入核定：</w:t>
      </w:r>
      <w:r>
        <w:rPr>
          <w:rFonts w:ascii="Times New Roman" w:hAnsi="Times New Roman" w:cs="Times New Roman"/>
          <w:szCs w:val="32"/>
        </w:rPr>
        <w:t>按照权责发生制原则，中小学校预收的师生伙食费不得直接</w:t>
      </w:r>
      <w:r>
        <w:rPr>
          <w:rFonts w:hint="eastAsia" w:ascii="Times New Roman" w:hAnsi="Times New Roman" w:cs="Times New Roman"/>
          <w:szCs w:val="32"/>
          <w:lang w:val="en-US" w:eastAsia="zh-CN"/>
        </w:rPr>
        <w:t>计入</w:t>
      </w:r>
      <w:r>
        <w:rPr>
          <w:rFonts w:ascii="Times New Roman" w:hAnsi="Times New Roman" w:cs="Times New Roman"/>
          <w:szCs w:val="32"/>
        </w:rPr>
        <w:t>食堂收入，</w:t>
      </w:r>
      <w:r>
        <w:rPr>
          <w:rFonts w:hint="eastAsia" w:ascii="Times New Roman" w:hAnsi="Times New Roman" w:cs="Times New Roman"/>
          <w:szCs w:val="32"/>
        </w:rPr>
        <w:t>应</w:t>
      </w:r>
      <w:r>
        <w:rPr>
          <w:rFonts w:ascii="Times New Roman" w:hAnsi="Times New Roman" w:cs="Times New Roman"/>
          <w:szCs w:val="32"/>
        </w:rPr>
        <w:t>按师生实际就餐次数和金额确认伙食</w:t>
      </w:r>
      <w:r>
        <w:rPr>
          <w:rFonts w:hint="eastAsia" w:ascii="Times New Roman" w:hAnsi="Times New Roman" w:cs="Times New Roman"/>
          <w:szCs w:val="32"/>
        </w:rPr>
        <w:t>费</w:t>
      </w:r>
      <w:r>
        <w:rPr>
          <w:rFonts w:ascii="Times New Roman" w:hAnsi="Times New Roman" w:cs="Times New Roman"/>
          <w:szCs w:val="32"/>
        </w:rPr>
        <w:t>收入。</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外来人员就餐伙食费收取：</w:t>
      </w:r>
      <w:r>
        <w:rPr>
          <w:rFonts w:ascii="Times New Roman" w:hAnsi="Times New Roman" w:cs="Times New Roman"/>
          <w:szCs w:val="32"/>
        </w:rPr>
        <w:t>中小学校外来人员就餐的应采取同菜同价方式据实收取伙食费。收取的伙食费应确认伙食费收入</w:t>
      </w:r>
      <w:r>
        <w:rPr>
          <w:rFonts w:hint="eastAsia" w:ascii="Times New Roman" w:hAnsi="Times New Roman" w:cs="Times New Roman"/>
          <w:szCs w:val="32"/>
        </w:rPr>
        <w:t>，</w:t>
      </w:r>
      <w:r>
        <w:rPr>
          <w:rFonts w:ascii="Times New Roman" w:hAnsi="Times New Roman" w:cs="Times New Roman"/>
          <w:szCs w:val="32"/>
        </w:rPr>
        <w:t>不</w:t>
      </w:r>
      <w:r>
        <w:rPr>
          <w:rFonts w:hint="eastAsia" w:ascii="Times New Roman" w:hAnsi="Times New Roman" w:cs="Times New Roman"/>
          <w:szCs w:val="32"/>
        </w:rPr>
        <w:t>得</w:t>
      </w:r>
      <w:r>
        <w:rPr>
          <w:rFonts w:ascii="Times New Roman" w:hAnsi="Times New Roman" w:cs="Times New Roman"/>
          <w:szCs w:val="32"/>
        </w:rPr>
        <w:t>直接冲抵成本。</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食材采购款拨付：</w:t>
      </w:r>
      <w:r>
        <w:rPr>
          <w:rFonts w:ascii="Times New Roman" w:hAnsi="Times New Roman" w:cs="Times New Roman"/>
          <w:szCs w:val="32"/>
        </w:rPr>
        <w:t>支付食材款不能通过付给采购员个人银行卡，再由采购员通过个人银行卡、微信、支付宝和现金等方式转付给供应商。支付采购款时，需取得合格发票，严格按发票提供的开户银行及账户支付。</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食堂成本核算：</w:t>
      </w:r>
      <w:r>
        <w:rPr>
          <w:rFonts w:ascii="Times New Roman" w:hAnsi="Times New Roman" w:cs="Times New Roman"/>
          <w:szCs w:val="32"/>
        </w:rPr>
        <w:t>自主经营的食堂成本以日常经营服务活动所必需的原材料、人工等各项直接支出为核算依据，不包括财政投入的房屋建筑物折旧和其他固定资产折旧。</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食堂原材料成本核算：</w:t>
      </w:r>
      <w:r>
        <w:rPr>
          <w:rFonts w:ascii="Times New Roman" w:hAnsi="Times New Roman" w:cs="Times New Roman"/>
          <w:szCs w:val="32"/>
        </w:rPr>
        <w:t>自主经营的食堂原材料成本包括当期实际耗用的米、面、油、水（海）产品、生鲜肉、蛋类、豆制品、调味品、蔬菜、燃料、水电费及其他原材料成本。食堂消耗的水、电、气及取暖费等应独立计量，单独结算并计入成本；如在学校账户统一支付的，</w:t>
      </w:r>
      <w:r>
        <w:rPr>
          <w:rFonts w:hint="eastAsia" w:ascii="Times New Roman" w:hAnsi="Times New Roman" w:cs="Times New Roman"/>
          <w:szCs w:val="32"/>
        </w:rPr>
        <w:t>可</w:t>
      </w:r>
      <w:r>
        <w:rPr>
          <w:rFonts w:ascii="Times New Roman" w:hAnsi="Times New Roman" w:cs="Times New Roman"/>
          <w:szCs w:val="32"/>
        </w:rPr>
        <w:t>按实际耗用数与学校进行结算并计入食堂成本。</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食堂人工成本核算：</w:t>
      </w:r>
      <w:r>
        <w:rPr>
          <w:rFonts w:ascii="Times New Roman" w:hAnsi="Times New Roman" w:cs="Times New Roman"/>
          <w:szCs w:val="32"/>
        </w:rPr>
        <w:t>自主经营的食堂人工成本包括食堂工作人员的工资及福利支出，按规定缴纳的各项社会保险、意外伤害保险等。地方财政保障的食堂工作人员工资及福利支出、各项保险不得计入食堂运营成本。</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非财政专项资金固定资产折旧，低值易耗品以及零星维修费成本核算：</w:t>
      </w:r>
      <w:r>
        <w:rPr>
          <w:rFonts w:ascii="Times New Roman" w:hAnsi="Times New Roman" w:cs="Times New Roman"/>
          <w:szCs w:val="32"/>
        </w:rPr>
        <w:t>非财政专项资金投入形成的食堂固定资产，包括食堂专用的各种燃具、炊具、餐具、冷藏设备、交通工具等，根据不同设备折旧年限，按月计提折旧并计入食堂成本。食堂耗用的低值易耗品应计入成本，金额较大的根据使用期限按月分摊计入食堂成本。食堂使用的各种设备的零星维修费应计入食堂成本。</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食堂结余管理：</w:t>
      </w:r>
      <w:r>
        <w:rPr>
          <w:rFonts w:ascii="Times New Roman" w:hAnsi="Times New Roman" w:cs="Times New Roman"/>
          <w:szCs w:val="32"/>
        </w:rPr>
        <w:t>食堂的收支结余</w:t>
      </w:r>
      <w:r>
        <w:rPr>
          <w:rFonts w:hint="eastAsia" w:ascii="Times New Roman" w:hAnsi="Times New Roman" w:cs="Times New Roman"/>
          <w:szCs w:val="32"/>
        </w:rPr>
        <w:t>应</w:t>
      </w:r>
      <w:r>
        <w:rPr>
          <w:rFonts w:ascii="Times New Roman" w:hAnsi="Times New Roman" w:cs="Times New Roman"/>
          <w:szCs w:val="32"/>
        </w:rPr>
        <w:t>转入下一会计年度继续使用</w:t>
      </w:r>
      <w:r>
        <w:rPr>
          <w:rFonts w:hint="eastAsia" w:ascii="Times New Roman" w:hAnsi="Times New Roman" w:cs="Times New Roman"/>
          <w:szCs w:val="32"/>
        </w:rPr>
        <w:t>，</w:t>
      </w:r>
      <w:r>
        <w:rPr>
          <w:rFonts w:ascii="Times New Roman" w:hAnsi="Times New Roman" w:cs="Times New Roman"/>
          <w:szCs w:val="32"/>
        </w:rPr>
        <w:t>用于改善学生伙食。严禁将食堂结余直接或变相用于发放学校教职工福利、奖金、津补贴等，严禁用于学校招待费、教职工聚餐等支出。</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食堂财务报表管理：</w:t>
      </w:r>
      <w:r>
        <w:rPr>
          <w:rFonts w:ascii="Times New Roman" w:hAnsi="Times New Roman" w:cs="Times New Roman"/>
          <w:szCs w:val="32"/>
        </w:rPr>
        <w:t>中小学校食堂财务活动纳入学校财务部门统一管理。中小学校应在年度终了时，将食堂的报表信息并入学校相关报表的相应项目，并抵消中小学校与食堂的内部业务或事项对中小学校报表的影响，编制合并资产负债表、合并收入费用表。</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原始凭证审核和监督：</w:t>
      </w:r>
      <w:r>
        <w:rPr>
          <w:rFonts w:ascii="Times New Roman" w:hAnsi="Times New Roman" w:cs="Times New Roman"/>
          <w:szCs w:val="32"/>
        </w:rPr>
        <w:t>食堂财务机构、会计人员</w:t>
      </w:r>
      <w:r>
        <w:rPr>
          <w:rFonts w:hint="eastAsia" w:ascii="Times New Roman" w:hAnsi="Times New Roman" w:cs="Times New Roman"/>
          <w:szCs w:val="32"/>
        </w:rPr>
        <w:t>应</w:t>
      </w:r>
      <w:r>
        <w:rPr>
          <w:rFonts w:ascii="Times New Roman" w:hAnsi="Times New Roman" w:cs="Times New Roman"/>
          <w:szCs w:val="32"/>
        </w:rPr>
        <w:t>对食堂的原始凭证进行审核和监督，内容包括：一是对不真实、不合法的原始凭证，不予受理；二是对弄虚作假、严重违法的原始凭证，在不予受理的同时，</w:t>
      </w:r>
      <w:r>
        <w:rPr>
          <w:rFonts w:hint="eastAsia" w:ascii="Times New Roman" w:hAnsi="Times New Roman" w:cs="Times New Roman"/>
          <w:szCs w:val="32"/>
        </w:rPr>
        <w:t>应</w:t>
      </w:r>
      <w:r>
        <w:rPr>
          <w:rFonts w:ascii="Times New Roman" w:hAnsi="Times New Roman" w:cs="Times New Roman"/>
          <w:szCs w:val="32"/>
        </w:rPr>
        <w:t>予以扣留，并及时向单位领导报告，请求查明原因，按有关规定处理；三是对记载不准确、不完整的原始凭证，予以退回，要求经办人员更正、补充。</w:t>
      </w:r>
    </w:p>
    <w:p>
      <w:pPr>
        <w:numPr>
          <w:ilvl w:val="0"/>
          <w:numId w:val="32"/>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食堂财务收支监督：</w:t>
      </w:r>
      <w:r>
        <w:rPr>
          <w:rFonts w:ascii="Times New Roman" w:hAnsi="Times New Roman" w:cs="Times New Roman"/>
          <w:szCs w:val="32"/>
        </w:rPr>
        <w:t>食堂财务机构、会计人员</w:t>
      </w:r>
      <w:r>
        <w:rPr>
          <w:rFonts w:hint="eastAsia" w:ascii="Times New Roman" w:hAnsi="Times New Roman" w:cs="Times New Roman"/>
          <w:szCs w:val="32"/>
        </w:rPr>
        <w:t>应</w:t>
      </w:r>
      <w:r>
        <w:rPr>
          <w:rFonts w:ascii="Times New Roman" w:hAnsi="Times New Roman" w:cs="Times New Roman"/>
          <w:szCs w:val="32"/>
        </w:rPr>
        <w:t>对食堂财务收支主要做好以下几方面监督：一是对审批手续不全的财务收支，</w:t>
      </w:r>
      <w:r>
        <w:rPr>
          <w:rFonts w:hint="eastAsia" w:ascii="Times New Roman" w:hAnsi="Times New Roman" w:cs="Times New Roman"/>
          <w:szCs w:val="32"/>
        </w:rPr>
        <w:t>应</w:t>
      </w:r>
      <w:r>
        <w:rPr>
          <w:rFonts w:ascii="Times New Roman" w:hAnsi="Times New Roman" w:cs="Times New Roman"/>
          <w:szCs w:val="32"/>
        </w:rPr>
        <w:t>退回，要求补充、更正；二是对违反规定不</w:t>
      </w:r>
      <w:r>
        <w:rPr>
          <w:rFonts w:hint="eastAsia" w:ascii="Times New Roman" w:hAnsi="Times New Roman" w:cs="Times New Roman"/>
          <w:szCs w:val="32"/>
        </w:rPr>
        <w:t>应</w:t>
      </w:r>
      <w:r>
        <w:rPr>
          <w:rFonts w:ascii="Times New Roman" w:hAnsi="Times New Roman" w:cs="Times New Roman"/>
          <w:szCs w:val="32"/>
        </w:rPr>
        <w:t>纳入食堂统一会计核算的财务收支，</w:t>
      </w:r>
      <w:r>
        <w:rPr>
          <w:rFonts w:hint="eastAsia" w:ascii="Times New Roman" w:hAnsi="Times New Roman" w:cs="Times New Roman"/>
          <w:szCs w:val="32"/>
        </w:rPr>
        <w:t>应予</w:t>
      </w:r>
      <w:r>
        <w:rPr>
          <w:rFonts w:ascii="Times New Roman" w:hAnsi="Times New Roman" w:cs="Times New Roman"/>
          <w:szCs w:val="32"/>
        </w:rPr>
        <w:t>制止和纠正；三是对违反国家统一的财政、财务、会计制度规定的食堂财务收支，不予办理；四是对严重违反国家利益和社会公众利益的食堂财务收支，</w:t>
      </w:r>
      <w:r>
        <w:rPr>
          <w:rFonts w:hint="eastAsia" w:ascii="Times New Roman" w:hAnsi="Times New Roman" w:cs="Times New Roman"/>
          <w:szCs w:val="32"/>
        </w:rPr>
        <w:t>应</w:t>
      </w:r>
      <w:r>
        <w:rPr>
          <w:rFonts w:ascii="Times New Roman" w:hAnsi="Times New Roman" w:cs="Times New Roman"/>
          <w:szCs w:val="32"/>
        </w:rPr>
        <w:t>向主管单位或者财政、审计、税务机关报告。</w:t>
      </w:r>
    </w:p>
    <w:p>
      <w:pPr>
        <w:numPr>
          <w:ilvl w:val="0"/>
          <w:numId w:val="32"/>
        </w:numPr>
        <w:spacing w:line="560" w:lineRule="exact"/>
        <w:ind w:firstLine="640"/>
        <w:rPr>
          <w:rFonts w:ascii="Times New Roman" w:hAnsi="Times New Roman" w:eastAsia="楷体_GB2312" w:cs="Times New Roman"/>
          <w:szCs w:val="32"/>
        </w:rPr>
      </w:pPr>
      <w:r>
        <w:rPr>
          <w:rFonts w:ascii="Times New Roman" w:hAnsi="Times New Roman" w:eastAsia="楷体_GB2312" w:cs="Times New Roman"/>
          <w:szCs w:val="32"/>
        </w:rPr>
        <w:t>食堂财务信息公开：</w:t>
      </w:r>
      <w:r>
        <w:rPr>
          <w:rFonts w:ascii="Times New Roman" w:hAnsi="Times New Roman" w:cs="Times New Roman"/>
          <w:szCs w:val="32"/>
        </w:rPr>
        <w:t>一是公开伙食费收费标准。采取</w:t>
      </w:r>
      <w:r>
        <w:rPr>
          <w:rFonts w:hint="eastAsia" w:ascii="Times New Roman" w:hAnsi="Times New Roman" w:cs="Times New Roman"/>
          <w:szCs w:val="32"/>
        </w:rPr>
        <w:t>包</w:t>
      </w:r>
      <w:r>
        <w:rPr>
          <w:rFonts w:ascii="Times New Roman" w:hAnsi="Times New Roman" w:cs="Times New Roman"/>
          <w:szCs w:val="32"/>
        </w:rPr>
        <w:t>餐制供餐的学校，每学期要在学校食堂醒目位置公开伙食费收费标准。采取选餐制供餐的学校，要在餐厅售饭窗口醒目位置公开价格</w:t>
      </w:r>
      <w:r>
        <w:rPr>
          <w:rFonts w:hint="eastAsia" w:ascii="Times New Roman" w:hAnsi="Times New Roman" w:cs="Times New Roman"/>
          <w:szCs w:val="32"/>
        </w:rPr>
        <w:t>信息</w:t>
      </w:r>
      <w:r>
        <w:rPr>
          <w:rFonts w:ascii="Times New Roman" w:hAnsi="Times New Roman" w:cs="Times New Roman"/>
          <w:szCs w:val="32"/>
        </w:rPr>
        <w:t>。二是公开食材采购信息。中小学校应在食堂醒目位置公开公示大宗食材采购品种、数量、价格及金额，及时公示大宗食材统一采购流程、中标单位等信息。三是公开食堂财务管理制度和收支信息。中小学校食堂财务管理制度应悬挂在食堂以及食堂财务管理部门办公室醒目位置，并公开公示上</w:t>
      </w:r>
      <w:r>
        <w:rPr>
          <w:rFonts w:hint="eastAsia" w:ascii="Times New Roman" w:hAnsi="Times New Roman" w:cs="Times New Roman"/>
          <w:szCs w:val="32"/>
        </w:rPr>
        <w:t>学期</w:t>
      </w:r>
      <w:r>
        <w:rPr>
          <w:rFonts w:ascii="Times New Roman" w:hAnsi="Times New Roman" w:cs="Times New Roman"/>
          <w:szCs w:val="32"/>
        </w:rPr>
        <w:t>食堂收入、支出、结余情况。四是公开招标信息。中小学校应在学校醒目位置公开公示通过招标方式遴选的校外配餐单位、食堂承包商、大宗食材供货企业以及委托的招标代理机构等信息</w:t>
      </w:r>
      <w:r>
        <w:rPr>
          <w:rFonts w:ascii="Times New Roman" w:hAnsi="Times New Roman" w:eastAsia="楷体_GB2312" w:cs="Times New Roman"/>
          <w:szCs w:val="32"/>
        </w:rPr>
        <w:t>。</w:t>
      </w:r>
    </w:p>
    <w:p>
      <w:pPr>
        <w:numPr>
          <w:ilvl w:val="0"/>
          <w:numId w:val="32"/>
        </w:numPr>
        <w:spacing w:line="560" w:lineRule="exact"/>
        <w:ind w:firstLine="640"/>
        <w:outlineLvl w:val="9"/>
        <w:rPr>
          <w:rFonts w:ascii="Times New Roman" w:hAnsi="Times New Roman" w:cs="Times New Roman"/>
          <w:szCs w:val="32"/>
        </w:rPr>
      </w:pPr>
      <w:r>
        <w:rPr>
          <w:rFonts w:ascii="Times New Roman" w:hAnsi="Times New Roman" w:eastAsia="楷体_GB2312" w:cs="Times New Roman"/>
          <w:szCs w:val="32"/>
        </w:rPr>
        <w:t>家庭</w:t>
      </w:r>
      <w:r>
        <w:rPr>
          <w:rFonts w:hint="eastAsia" w:ascii="Times New Roman" w:hAnsi="Times New Roman" w:eastAsia="楷体_GB2312" w:cs="Times New Roman"/>
          <w:szCs w:val="32"/>
        </w:rPr>
        <w:t>经济</w:t>
      </w:r>
      <w:r>
        <w:rPr>
          <w:rFonts w:ascii="Times New Roman" w:hAnsi="Times New Roman" w:eastAsia="楷体_GB2312" w:cs="Times New Roman"/>
          <w:szCs w:val="32"/>
        </w:rPr>
        <w:t>困难学生生活</w:t>
      </w:r>
      <w:r>
        <w:rPr>
          <w:rFonts w:hint="eastAsia" w:ascii="Times New Roman" w:hAnsi="Times New Roman" w:eastAsia="楷体_GB2312" w:cs="Times New Roman"/>
          <w:szCs w:val="32"/>
        </w:rPr>
        <w:t>补助</w:t>
      </w:r>
      <w:r>
        <w:rPr>
          <w:rFonts w:ascii="Times New Roman" w:hAnsi="Times New Roman" w:eastAsia="楷体_GB2312" w:cs="Times New Roman"/>
          <w:szCs w:val="32"/>
        </w:rPr>
        <w:t>支付：</w:t>
      </w:r>
      <w:r>
        <w:rPr>
          <w:rFonts w:ascii="Times New Roman" w:hAnsi="Times New Roman" w:cs="Times New Roman"/>
          <w:szCs w:val="32"/>
        </w:rPr>
        <w:t>家庭</w:t>
      </w:r>
      <w:r>
        <w:rPr>
          <w:rFonts w:hint="eastAsia" w:ascii="Times New Roman" w:hAnsi="Times New Roman" w:cs="Times New Roman"/>
          <w:szCs w:val="32"/>
        </w:rPr>
        <w:t>经济</w:t>
      </w:r>
      <w:r>
        <w:rPr>
          <w:rFonts w:ascii="Times New Roman" w:hAnsi="Times New Roman" w:cs="Times New Roman"/>
          <w:szCs w:val="32"/>
        </w:rPr>
        <w:t>困难学生生活</w:t>
      </w:r>
      <w:r>
        <w:rPr>
          <w:rFonts w:hint="eastAsia" w:ascii="Times New Roman" w:hAnsi="Times New Roman" w:cs="Times New Roman"/>
          <w:szCs w:val="32"/>
        </w:rPr>
        <w:t>补助</w:t>
      </w:r>
      <w:r>
        <w:rPr>
          <w:rFonts w:ascii="Times New Roman" w:hAnsi="Times New Roman" w:cs="Times New Roman"/>
          <w:szCs w:val="32"/>
        </w:rPr>
        <w:t>应按国库集中支付的要求，将补助资金直接发放至学生本人或监护人银行卡，鼓励有条件的地区实行统一发放。确因特殊情况无法通过银行卡方式发放的，经同级学生资助管理部门批准后，可转入学生校园卡或以现金形式发放。不得截留、克扣、挪用。</w:t>
      </w:r>
    </w:p>
    <w:p>
      <w:pPr>
        <w:numPr>
          <w:ilvl w:val="255"/>
          <w:numId w:val="0"/>
        </w:numPr>
        <w:tabs>
          <w:tab w:val="left" w:pos="312"/>
        </w:tabs>
        <w:spacing w:line="560" w:lineRule="exact"/>
        <w:ind w:firstLine="640"/>
        <w:outlineLvl w:val="1"/>
        <w:rPr>
          <w:rFonts w:ascii="Times New Roman" w:hAnsi="Times New Roman" w:eastAsia="方正黑体_GBK" w:cs="Times New Roman"/>
          <w:szCs w:val="32"/>
        </w:rPr>
      </w:pPr>
      <w:bookmarkStart w:id="202" w:name="_Toc385713358"/>
      <w:bookmarkStart w:id="203" w:name="_Toc29941"/>
      <w:r>
        <w:rPr>
          <w:rFonts w:hint="eastAsia" w:ascii="黑体" w:hAnsi="黑体" w:eastAsia="黑体" w:cs="黑体"/>
          <w:szCs w:val="32"/>
        </w:rPr>
        <w:t>二、</w:t>
      </w:r>
      <w:bookmarkStart w:id="204" w:name="_Toc1779698798"/>
      <w:bookmarkStart w:id="205" w:name="_Toc2093140387"/>
      <w:bookmarkStart w:id="206" w:name="_Toc36161514"/>
      <w:bookmarkStart w:id="207" w:name="_Toc520549992"/>
      <w:r>
        <w:rPr>
          <w:rFonts w:ascii="Times New Roman" w:hAnsi="Times New Roman" w:eastAsia="方正黑体_GBK" w:cs="Times New Roman"/>
          <w:szCs w:val="32"/>
        </w:rPr>
        <w:t>营养改善计划经费管理</w:t>
      </w:r>
      <w:bookmarkEnd w:id="202"/>
      <w:bookmarkEnd w:id="203"/>
      <w:bookmarkEnd w:id="204"/>
      <w:bookmarkEnd w:id="205"/>
      <w:bookmarkEnd w:id="206"/>
      <w:bookmarkEnd w:id="207"/>
    </w:p>
    <w:p>
      <w:pPr>
        <w:numPr>
          <w:ilvl w:val="0"/>
          <w:numId w:val="33"/>
        </w:numPr>
        <w:spacing w:line="560" w:lineRule="exact"/>
        <w:ind w:firstLine="640"/>
        <w:rPr>
          <w:rFonts w:ascii="Times New Roman" w:hAnsi="Times New Roman" w:cs="Times New Roman"/>
          <w:szCs w:val="32"/>
        </w:rPr>
      </w:pPr>
      <w:r>
        <w:rPr>
          <w:rFonts w:hint="eastAsia" w:ascii="Times New Roman" w:hAnsi="Times New Roman" w:eastAsia="楷体_GB2312" w:cs="Times New Roman"/>
          <w:szCs w:val="32"/>
        </w:rPr>
        <w:t>营养</w:t>
      </w:r>
      <w:r>
        <w:rPr>
          <w:rFonts w:ascii="Times New Roman" w:hAnsi="Times New Roman" w:eastAsia="楷体_GB2312" w:cs="Times New Roman"/>
          <w:szCs w:val="32"/>
        </w:rPr>
        <w:t>膳食补助资金管理：</w:t>
      </w:r>
      <w:r>
        <w:rPr>
          <w:rFonts w:ascii="Times New Roman" w:hAnsi="Times New Roman" w:cs="Times New Roman"/>
          <w:szCs w:val="32"/>
        </w:rPr>
        <w:t>营养膳食补助资金必须确保全额用于为学生提供营养膳食，补助学生用餐，</w:t>
      </w:r>
      <w:r>
        <w:rPr>
          <w:rFonts w:hint="eastAsia" w:ascii="Times New Roman" w:hAnsi="Times New Roman" w:cs="Times New Roman"/>
          <w:szCs w:val="32"/>
        </w:rPr>
        <w:t>不得直接发放给学生个人或家长，严禁克扣、截留、挤占和挪用</w:t>
      </w:r>
      <w:r>
        <w:rPr>
          <w:rFonts w:ascii="Times New Roman" w:hAnsi="Times New Roman" w:cs="Times New Roman"/>
          <w:szCs w:val="32"/>
        </w:rPr>
        <w:t>；严禁设立</w:t>
      </w:r>
      <w:r>
        <w:rPr>
          <w:rFonts w:hint="eastAsia" w:ascii="仿宋_GB2312" w:hAnsi="仿宋_GB2312" w:cs="仿宋_GB2312"/>
          <w:szCs w:val="32"/>
        </w:rPr>
        <w:t>“小金库”</w:t>
      </w:r>
      <w:r>
        <w:rPr>
          <w:rFonts w:ascii="Times New Roman" w:hAnsi="Times New Roman" w:cs="Times New Roman"/>
          <w:szCs w:val="32"/>
        </w:rPr>
        <w:t>，在食堂经费中列支学校公共开支或教职工奖金福利、津补贴、招待费及其他非食堂经营服务支出等费用。</w:t>
      </w:r>
    </w:p>
    <w:p>
      <w:pPr>
        <w:numPr>
          <w:ilvl w:val="0"/>
          <w:numId w:val="33"/>
        </w:numPr>
        <w:spacing w:line="560" w:lineRule="exact"/>
        <w:ind w:firstLine="640"/>
        <w:rPr>
          <w:rFonts w:ascii="Times New Roman" w:hAnsi="Times New Roman" w:cs="Times New Roman"/>
          <w:szCs w:val="32"/>
        </w:rPr>
      </w:pPr>
      <w:r>
        <w:rPr>
          <w:rFonts w:hint="eastAsia" w:ascii="Times New Roman" w:hAnsi="Times New Roman" w:eastAsia="楷体_GB2312" w:cs="Times New Roman"/>
          <w:szCs w:val="32"/>
        </w:rPr>
        <w:t>营养</w:t>
      </w:r>
      <w:r>
        <w:rPr>
          <w:rFonts w:ascii="Times New Roman" w:hAnsi="Times New Roman" w:eastAsia="楷体_GB2312" w:cs="Times New Roman"/>
          <w:szCs w:val="32"/>
        </w:rPr>
        <w:t>膳食补助资金来源：</w:t>
      </w:r>
      <w:r>
        <w:rPr>
          <w:rFonts w:ascii="Times New Roman" w:hAnsi="Times New Roman" w:cs="Times New Roman"/>
          <w:szCs w:val="32"/>
        </w:rPr>
        <w:t>各地可结合当地经济社会发展实际及物价水平，在落实营养</w:t>
      </w:r>
      <w:r>
        <w:rPr>
          <w:rFonts w:hint="eastAsia" w:ascii="Times New Roman" w:hAnsi="Times New Roman" w:cs="Times New Roman"/>
          <w:szCs w:val="32"/>
        </w:rPr>
        <w:t>膳食补助资金</w:t>
      </w:r>
      <w:r>
        <w:rPr>
          <w:rFonts w:ascii="Times New Roman" w:hAnsi="Times New Roman" w:cs="Times New Roman"/>
          <w:szCs w:val="32"/>
        </w:rPr>
        <w:t>国家</w:t>
      </w:r>
      <w:r>
        <w:rPr>
          <w:rFonts w:hint="eastAsia" w:ascii="Times New Roman" w:hAnsi="Times New Roman" w:cs="Times New Roman"/>
          <w:szCs w:val="32"/>
        </w:rPr>
        <w:t>基础标准</w:t>
      </w:r>
      <w:r>
        <w:rPr>
          <w:rFonts w:ascii="Times New Roman" w:hAnsi="Times New Roman" w:cs="Times New Roman"/>
          <w:szCs w:val="32"/>
        </w:rPr>
        <w:t>上，进一步完善政府、家庭、社会力量共同承担的膳食费用机制，科学确定伙食费收费标准。鼓励企业、基金会、慈善机构等捐资捐助，在地方政府统筹下，积极开展营养改善计划工作，并按规定享受税费减免优惠政策。</w:t>
      </w:r>
    </w:p>
    <w:p>
      <w:pPr>
        <w:numPr>
          <w:ilvl w:val="0"/>
          <w:numId w:val="33"/>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收取伙食费管理：</w:t>
      </w:r>
      <w:r>
        <w:rPr>
          <w:rFonts w:ascii="Times New Roman" w:hAnsi="Times New Roman" w:cs="Times New Roman"/>
          <w:szCs w:val="32"/>
        </w:rPr>
        <w:t>实施营养改善计划的学校收取伙食费，应严格执行中小学收费管理有关规定，所收取的伙食费应全部用于营养改善计划供餐成本开支。供应两餐及以上的学校，应加强食材采购成本核算管理。</w:t>
      </w:r>
    </w:p>
    <w:p>
      <w:pPr>
        <w:numPr>
          <w:ilvl w:val="0"/>
          <w:numId w:val="33"/>
        </w:numPr>
        <w:spacing w:line="560" w:lineRule="exact"/>
        <w:ind w:firstLine="640"/>
        <w:rPr>
          <w:rFonts w:ascii="Times New Roman" w:hAnsi="Times New Roman" w:cs="Times New Roman"/>
          <w:szCs w:val="32"/>
        </w:rPr>
      </w:pPr>
      <w:r>
        <w:rPr>
          <w:rFonts w:hint="eastAsia" w:ascii="Times New Roman" w:hAnsi="Times New Roman" w:eastAsia="楷体_GB2312" w:cs="Times New Roman"/>
          <w:szCs w:val="32"/>
        </w:rPr>
        <w:t>食堂</w:t>
      </w:r>
      <w:r>
        <w:rPr>
          <w:rFonts w:ascii="Times New Roman" w:hAnsi="Times New Roman" w:eastAsia="楷体_GB2312" w:cs="Times New Roman"/>
          <w:szCs w:val="32"/>
        </w:rPr>
        <w:t>运行经费来源：</w:t>
      </w:r>
      <w:r>
        <w:rPr>
          <w:rFonts w:ascii="Times New Roman" w:hAnsi="Times New Roman" w:cs="Times New Roman"/>
          <w:szCs w:val="32"/>
        </w:rPr>
        <w:t>对实施营养改善计划的学校可适当提高学校公用经费补助水平，自主经营食堂（伙房）发生的水电煤气等日常运行经费可纳入学校公用经费开支，不得挤占营养膳食补助资金。</w:t>
      </w:r>
    </w:p>
    <w:p>
      <w:pPr>
        <w:numPr>
          <w:ilvl w:val="0"/>
          <w:numId w:val="33"/>
        </w:numPr>
        <w:spacing w:line="560" w:lineRule="exact"/>
        <w:ind w:firstLine="640"/>
        <w:rPr>
          <w:rFonts w:ascii="Times New Roman" w:hAnsi="Times New Roman" w:cs="Times New Roman"/>
          <w:szCs w:val="32"/>
        </w:rPr>
      </w:pPr>
      <w:r>
        <w:rPr>
          <w:rFonts w:ascii="Times New Roman" w:hAnsi="Times New Roman" w:eastAsia="楷体_GB2312" w:cs="Times New Roman"/>
          <w:szCs w:val="32"/>
        </w:rPr>
        <w:t>聘用人员开支来源：</w:t>
      </w:r>
      <w:r>
        <w:rPr>
          <w:rFonts w:ascii="Times New Roman" w:hAnsi="Times New Roman" w:cs="Times New Roman"/>
          <w:szCs w:val="32"/>
        </w:rPr>
        <w:t>实施营养改善计划的学校，自主经营食堂（伙房）供餐增加的聘用人员待遇等开支，</w:t>
      </w:r>
      <w:r>
        <w:rPr>
          <w:rFonts w:hint="eastAsia" w:ascii="Times New Roman" w:hAnsi="Times New Roman" w:cs="Times New Roman"/>
          <w:szCs w:val="32"/>
        </w:rPr>
        <w:t>应</w:t>
      </w:r>
      <w:r>
        <w:rPr>
          <w:rFonts w:ascii="Times New Roman" w:hAnsi="Times New Roman" w:cs="Times New Roman"/>
          <w:szCs w:val="32"/>
        </w:rPr>
        <w:t>由地方财政统筹解决，不得挤占营养膳食补助资金。</w:t>
      </w:r>
    </w:p>
    <w:p>
      <w:pPr>
        <w:numPr>
          <w:ilvl w:val="0"/>
          <w:numId w:val="33"/>
        </w:numPr>
        <w:spacing w:line="560" w:lineRule="exact"/>
        <w:ind w:firstLine="640"/>
        <w:rPr>
          <w:rFonts w:ascii="Times New Roman" w:hAnsi="Times New Roman" w:cs="Times New Roman"/>
          <w:szCs w:val="32"/>
        </w:rPr>
      </w:pPr>
      <w:r>
        <w:rPr>
          <w:rFonts w:hint="eastAsia" w:ascii="Times New Roman" w:hAnsi="Times New Roman" w:eastAsia="楷体_GB2312" w:cs="Times New Roman"/>
          <w:szCs w:val="32"/>
        </w:rPr>
        <w:t>营养膳食补助资金监督：</w:t>
      </w:r>
      <w:r>
        <w:rPr>
          <w:rFonts w:hint="eastAsia" w:ascii="Times New Roman" w:hAnsi="Times New Roman" w:cs="Times New Roman"/>
          <w:szCs w:val="32"/>
        </w:rPr>
        <w:t>一是各地应定期开展审计，强化审计监督；二是各级教育行政部门应指导学校建立健全内部控制制度，强化内部监督；三是学校应每学期至少一次公开食堂收支情况，自觉接受师生、家长和社会的监督。</w:t>
      </w:r>
    </w:p>
    <w:p>
      <w:pPr>
        <w:pStyle w:val="5"/>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0"/>
        <w:rPr>
          <w:rFonts w:hint="default" w:ascii="Times New Roman" w:hAnsi="Times New Roman" w:eastAsia="方正小标宋简体" w:cs="Times New Roman"/>
          <w:color w:val="auto"/>
          <w:sz w:val="36"/>
          <w:szCs w:val="36"/>
          <w:u w:val="none"/>
          <w:lang w:val="en-US" w:eastAsia="zh-CN"/>
        </w:rPr>
        <w:sectPr>
          <w:pgSz w:w="11906" w:h="16838"/>
          <w:pgMar w:top="1440" w:right="1800" w:bottom="1440" w:left="1800" w:header="851" w:footer="992" w:gutter="0"/>
          <w:pgNumType w:fmt="decimal"/>
          <w:cols w:space="425" w:num="1"/>
          <w:docGrid w:type="lines" w:linePitch="312" w:charSpace="0"/>
        </w:sectPr>
      </w:pPr>
      <w:bookmarkStart w:id="208" w:name="_Toc11076"/>
    </w:p>
    <w:p>
      <w:pPr>
        <w:pStyle w:val="5"/>
        <w:keepNext w:val="0"/>
        <w:keepLines w:val="0"/>
        <w:pageBreakBefore w:val="0"/>
        <w:widowControl w:val="0"/>
        <w:numPr>
          <w:ilvl w:val="0"/>
          <w:numId w:val="0"/>
        </w:numPr>
        <w:kinsoku/>
        <w:wordWrap/>
        <w:overflowPunct/>
        <w:topLinePunct w:val="0"/>
        <w:autoSpaceDE/>
        <w:autoSpaceDN/>
        <w:bidi w:val="0"/>
        <w:adjustRightInd/>
        <w:spacing w:line="560" w:lineRule="exact"/>
        <w:jc w:val="center"/>
        <w:textAlignment w:val="auto"/>
        <w:outlineLvl w:val="0"/>
        <w:rPr>
          <w:rFonts w:hint="default" w:ascii="Times New Roman" w:hAnsi="Times New Roman" w:eastAsia="方正小标宋简体" w:cs="Times New Roman"/>
          <w:color w:val="auto"/>
          <w:sz w:val="36"/>
          <w:szCs w:val="36"/>
          <w:u w:val="none"/>
          <w:lang w:val="en-US" w:eastAsia="zh-CN"/>
        </w:rPr>
      </w:pPr>
      <w:bookmarkStart w:id="209" w:name="_Toc837672339"/>
      <w:r>
        <w:rPr>
          <w:rFonts w:hint="default" w:ascii="Times New Roman" w:hAnsi="Times New Roman" w:eastAsia="方正小标宋简体" w:cs="Times New Roman"/>
          <w:color w:val="auto"/>
          <w:sz w:val="36"/>
          <w:szCs w:val="36"/>
          <w:u w:val="none"/>
          <w:lang w:val="en-US" w:eastAsia="zh-CN"/>
        </w:rPr>
        <w:t xml:space="preserve">第三章  </w:t>
      </w:r>
      <w:r>
        <w:rPr>
          <w:rFonts w:hint="eastAsia" w:ascii="Times New Roman" w:hAnsi="Times New Roman" w:eastAsia="方正小标宋简体" w:cs="Times New Roman"/>
          <w:color w:val="auto"/>
          <w:sz w:val="36"/>
          <w:szCs w:val="36"/>
          <w:u w:val="none"/>
          <w:lang w:val="en-US" w:eastAsia="zh-CN"/>
        </w:rPr>
        <w:t>纪法</w:t>
      </w:r>
      <w:r>
        <w:rPr>
          <w:rFonts w:hint="default" w:ascii="Times New Roman" w:hAnsi="Times New Roman" w:eastAsia="方正小标宋简体" w:cs="Times New Roman"/>
          <w:color w:val="auto"/>
          <w:sz w:val="36"/>
          <w:szCs w:val="36"/>
          <w:u w:val="none"/>
          <w:lang w:val="en-US" w:eastAsia="zh-CN"/>
        </w:rPr>
        <w:t>责任</w:t>
      </w:r>
      <w:bookmarkEnd w:id="198"/>
      <w:bookmarkEnd w:id="199"/>
      <w:bookmarkEnd w:id="200"/>
      <w:bookmarkEnd w:id="201"/>
      <w:bookmarkEnd w:id="208"/>
      <w:bookmarkEnd w:id="209"/>
    </w:p>
    <w:p>
      <w:pPr>
        <w:pStyle w:val="6"/>
        <w:pageBreakBefore w:val="0"/>
        <w:widowControl w:val="0"/>
        <w:kinsoku/>
        <w:wordWrap/>
        <w:overflowPunct/>
        <w:topLinePunct w:val="0"/>
        <w:autoSpaceDE/>
        <w:autoSpaceDN/>
        <w:bidi w:val="0"/>
        <w:adjustRightInd/>
        <w:spacing w:line="560" w:lineRule="exact"/>
        <w:ind w:left="0" w:leftChars="0" w:firstLine="0" w:firstLineChars="0"/>
        <w:jc w:val="both"/>
        <w:textAlignment w:val="auto"/>
        <w:outlineLvl w:val="9"/>
        <w:rPr>
          <w:rFonts w:hint="default" w:ascii="Times New Roman" w:hAnsi="Times New Roman" w:eastAsia="方正黑体_GBK" w:cs="Times New Roman"/>
          <w:color w:val="auto"/>
          <w:sz w:val="32"/>
          <w:szCs w:val="32"/>
          <w:u w:val="none"/>
          <w:lang w:eastAsia="zh-CN"/>
        </w:rPr>
      </w:pPr>
      <w:bookmarkStart w:id="210" w:name="_Toc5224"/>
      <w:bookmarkStart w:id="211" w:name="_Toc170218093"/>
    </w:p>
    <w:p>
      <w:pPr>
        <w:pStyle w:val="6"/>
        <w:pageBreakBefore w:val="0"/>
        <w:widowControl w:val="0"/>
        <w:numPr>
          <w:ilvl w:val="0"/>
          <w:numId w:val="34"/>
        </w:numPr>
        <w:kinsoku/>
        <w:wordWrap/>
        <w:overflowPunct/>
        <w:topLinePunct w:val="0"/>
        <w:autoSpaceDE/>
        <w:autoSpaceDN/>
        <w:bidi w:val="0"/>
        <w:adjustRightInd/>
        <w:spacing w:line="560" w:lineRule="exact"/>
        <w:ind w:left="0" w:leftChars="0" w:firstLine="640" w:firstLineChars="200"/>
        <w:jc w:val="both"/>
        <w:textAlignment w:val="auto"/>
        <w:outlineLvl w:val="1"/>
        <w:rPr>
          <w:rFonts w:hint="default" w:ascii="Times New Roman" w:hAnsi="Times New Roman" w:eastAsia="方正黑体_GBK" w:cs="Times New Roman"/>
          <w:color w:val="auto"/>
          <w:sz w:val="32"/>
          <w:szCs w:val="32"/>
          <w:u w:val="none"/>
          <w:lang w:eastAsia="zh-CN"/>
        </w:rPr>
      </w:pPr>
      <w:bookmarkStart w:id="212" w:name="_Toc477808387"/>
      <w:bookmarkStart w:id="213" w:name="_Toc7038"/>
      <w:bookmarkStart w:id="214" w:name="_Toc107545219"/>
      <w:bookmarkStart w:id="215" w:name="_Toc1813893858"/>
      <w:bookmarkStart w:id="216" w:name="_Toc70685631"/>
      <w:bookmarkStart w:id="217" w:name="_Toc914637761"/>
      <w:r>
        <w:rPr>
          <w:rFonts w:hint="default" w:ascii="Times New Roman" w:hAnsi="Times New Roman" w:eastAsia="方正黑体_GBK" w:cs="Times New Roman"/>
          <w:color w:val="auto"/>
          <w:sz w:val="32"/>
          <w:szCs w:val="32"/>
          <w:u w:val="none"/>
          <w:lang w:eastAsia="zh-CN"/>
        </w:rPr>
        <w:t>食品安全管理类</w:t>
      </w:r>
      <w:bookmarkEnd w:id="212"/>
      <w:bookmarkEnd w:id="213"/>
      <w:bookmarkEnd w:id="214"/>
      <w:bookmarkEnd w:id="215"/>
      <w:bookmarkEnd w:id="216"/>
      <w:bookmarkEnd w:id="217"/>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eastAsia="仿宋_GB2312" w:cs="Times New Roman"/>
          <w:color w:val="auto"/>
          <w:sz w:val="32"/>
          <w:szCs w:val="32"/>
          <w:u w:val="none"/>
          <w:lang w:eastAsia="zh-CN"/>
        </w:rPr>
      </w:pPr>
      <w:r>
        <w:rPr>
          <w:rFonts w:hint="default" w:ascii="Times New Roman" w:hAnsi="Times New Roman" w:eastAsia="楷体_GB2312" w:cs="Times New Roman"/>
          <w:color w:val="auto"/>
          <w:sz w:val="32"/>
          <w:szCs w:val="32"/>
          <w:u w:val="none"/>
        </w:rPr>
        <w:t>未建立食品安全管理制度</w:t>
      </w:r>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学校食堂</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建立食品安全与营养健康状况自查</w:t>
      </w:r>
      <w:r>
        <w:rPr>
          <w:rFonts w:hint="default" w:ascii="Times New Roman" w:hAnsi="Times New Roman" w:cs="Times New Roman"/>
          <w:color w:val="auto"/>
          <w:sz w:val="32"/>
          <w:szCs w:val="32"/>
          <w:u w:val="none"/>
          <w:lang w:eastAsia="zh-CN"/>
        </w:rPr>
        <w:t>制度，建立健全</w:t>
      </w:r>
      <w:r>
        <w:rPr>
          <w:rFonts w:hint="default" w:ascii="Times New Roman" w:hAnsi="Times New Roman" w:cs="Times New Roman"/>
          <w:color w:val="auto"/>
          <w:sz w:val="32"/>
          <w:szCs w:val="32"/>
          <w:u w:val="none"/>
        </w:rPr>
        <w:t>场所及设施设备清洗消毒、维修保养校验、原料采购至供餐全过程控制管理、</w:t>
      </w:r>
      <w:r>
        <w:rPr>
          <w:rFonts w:hint="eastAsia" w:ascii="Times New Roman" w:hAnsi="Times New Roman" w:cs="Times New Roman"/>
          <w:color w:val="auto"/>
          <w:sz w:val="32"/>
          <w:szCs w:val="32"/>
          <w:u w:val="none"/>
          <w:lang w:eastAsia="zh-CN"/>
        </w:rPr>
        <w:t>餐饮具</w:t>
      </w:r>
      <w:r>
        <w:rPr>
          <w:rFonts w:hint="default" w:ascii="Times New Roman" w:hAnsi="Times New Roman" w:cs="Times New Roman"/>
          <w:color w:val="auto"/>
          <w:sz w:val="32"/>
          <w:szCs w:val="32"/>
          <w:u w:val="none"/>
        </w:rPr>
        <w:t>清洗消毒、食品添加剂使用管理</w:t>
      </w:r>
      <w:r>
        <w:rPr>
          <w:rFonts w:hint="default" w:ascii="Times New Roman" w:hAnsi="Times New Roman" w:cs="Times New Roman"/>
          <w:color w:val="auto"/>
          <w:sz w:val="32"/>
          <w:szCs w:val="32"/>
          <w:u w:val="none"/>
          <w:lang w:eastAsia="zh-CN"/>
        </w:rPr>
        <w:t>等制度，建立并执行</w:t>
      </w:r>
      <w:r>
        <w:rPr>
          <w:rFonts w:hint="default" w:ascii="Times New Roman" w:hAnsi="Times New Roman" w:cs="Times New Roman"/>
          <w:color w:val="auto"/>
          <w:sz w:val="32"/>
          <w:szCs w:val="32"/>
          <w:u w:val="none"/>
        </w:rPr>
        <w:t>从业人员健康管理和培训</w:t>
      </w:r>
      <w:r>
        <w:rPr>
          <w:rFonts w:hint="default" w:ascii="Times New Roman" w:hAnsi="Times New Roman" w:cs="Times New Roman"/>
          <w:color w:val="auto"/>
          <w:sz w:val="32"/>
          <w:szCs w:val="32"/>
          <w:u w:val="none"/>
          <w:lang w:eastAsia="zh-CN"/>
        </w:rPr>
        <w:t>制度，建立</w:t>
      </w:r>
      <w:r>
        <w:rPr>
          <w:rFonts w:hint="default" w:ascii="Times New Roman" w:hAnsi="Times New Roman" w:cs="Times New Roman"/>
          <w:color w:val="auto"/>
          <w:sz w:val="32"/>
          <w:szCs w:val="32"/>
          <w:u w:val="none"/>
        </w:rPr>
        <w:t>食品、食品添加剂和食品相关产品进货查验制度。违反以上情形的，由县级以上人民政府食品安全监督管理部门责令改正</w:t>
      </w:r>
      <w:r>
        <w:rPr>
          <w:rFonts w:hint="default" w:ascii="Times New Roman" w:hAnsi="Times New Roman" w:cs="Times New Roman"/>
          <w:color w:val="auto"/>
          <w:sz w:val="32"/>
          <w:szCs w:val="32"/>
          <w:u w:val="none"/>
          <w:lang w:eastAsia="zh-CN"/>
        </w:rPr>
        <w:t>，</w:t>
      </w:r>
      <w:r>
        <w:rPr>
          <w:rFonts w:hint="default" w:ascii="Times New Roman" w:hAnsi="Times New Roman" w:cs="Times New Roman"/>
          <w:color w:val="auto"/>
          <w:sz w:val="32"/>
          <w:szCs w:val="32"/>
          <w:u w:val="none"/>
        </w:rPr>
        <w:t>给予警告；拒不改正的，处5千元以上5万元以下罚款</w:t>
      </w:r>
      <w:r>
        <w:rPr>
          <w:rFonts w:hint="default" w:ascii="Times New Roman" w:hAnsi="Times New Roman" w:cs="Times New Roman"/>
          <w:color w:val="auto"/>
          <w:sz w:val="32"/>
          <w:szCs w:val="32"/>
          <w:u w:val="none"/>
          <w:lang w:eastAsia="zh-CN"/>
        </w:rPr>
        <w:t>；</w:t>
      </w:r>
      <w:r>
        <w:rPr>
          <w:rFonts w:hint="default" w:ascii="Times New Roman" w:hAnsi="Times New Roman" w:cs="Times New Roman"/>
          <w:color w:val="auto"/>
          <w:sz w:val="32"/>
          <w:szCs w:val="32"/>
          <w:u w:val="none"/>
        </w:rPr>
        <w:t>情节严重的，责令停产停业，直至吊销许可证。</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《中华人民共和国食品安全法》</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一百二十六条</w:t>
      </w:r>
      <w:r>
        <w:rPr>
          <w:rFonts w:hint="default" w:ascii="Times New Roman" w:hAnsi="Times New Roman" w:cs="Times New Roman"/>
          <w:color w:val="auto"/>
          <w:sz w:val="32"/>
          <w:szCs w:val="32"/>
          <w:u w:val="none"/>
          <w:lang w:val="en-US" w:eastAsia="zh-CN"/>
        </w:rPr>
        <w:t>、</w:t>
      </w:r>
      <w:r>
        <w:rPr>
          <w:rFonts w:hint="default" w:ascii="Times New Roman" w:hAnsi="Times New Roman" w:cs="Times New Roman"/>
          <w:color w:val="auto"/>
          <w:sz w:val="32"/>
          <w:szCs w:val="32"/>
          <w:u w:val="none"/>
        </w:rPr>
        <w:t>《学校食品安全与营养健康管理规定》</w:t>
      </w:r>
      <w:r>
        <w:rPr>
          <w:rFonts w:hint="default" w:ascii="Times New Roman" w:hAnsi="Times New Roman" w:cs="Times New Roman"/>
          <w:color w:val="auto"/>
          <w:sz w:val="32"/>
          <w:szCs w:val="32"/>
          <w:u w:val="none"/>
          <w:lang w:val="en-US" w:eastAsia="zh-CN"/>
        </w:rPr>
        <w:t>第</w:t>
      </w:r>
      <w:r>
        <w:rPr>
          <w:rFonts w:hint="eastAsia" w:ascii="Times New Roman" w:hAnsi="Times New Roman" w:cs="Times New Roman"/>
          <w:color w:val="auto"/>
          <w:sz w:val="32"/>
          <w:szCs w:val="32"/>
          <w:u w:val="none"/>
          <w:lang w:val="en-US" w:eastAsia="zh-CN"/>
        </w:rPr>
        <w:t>五十四条</w:t>
      </w:r>
      <w:r>
        <w:rPr>
          <w:rFonts w:hint="default" w:ascii="Times New Roman" w:hAnsi="Times New Roman" w:cs="Times New Roman"/>
          <w:color w:val="auto"/>
          <w:sz w:val="32"/>
          <w:szCs w:val="32"/>
          <w:u w:val="none"/>
          <w:lang w:val="en-US" w:eastAsia="zh-CN"/>
        </w:rPr>
        <w:t>）</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r>
        <w:rPr>
          <w:rFonts w:hint="default" w:ascii="Times New Roman" w:hAnsi="Times New Roman" w:eastAsia="楷体_GB2312" w:cs="Times New Roman"/>
          <w:color w:val="auto"/>
          <w:sz w:val="32"/>
          <w:szCs w:val="32"/>
          <w:u w:val="none"/>
        </w:rPr>
        <w:t>未配备、培训或考核食品安全管理人员</w:t>
      </w:r>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由县级以上人民政府食品安全监督管理部门责令改正，给予警告；拒不改正的，处5千元以上5万元以下罚款；情节严重的，责令停产停业，直至吊销许可证。（依据：《中华人民共和国食品安全法》第</w:t>
      </w:r>
      <w:r>
        <w:rPr>
          <w:rFonts w:hint="eastAsia" w:ascii="Times New Roman" w:hAnsi="Times New Roman" w:cs="Times New Roman"/>
          <w:color w:val="auto"/>
          <w:sz w:val="32"/>
          <w:szCs w:val="32"/>
          <w:u w:val="none"/>
          <w:lang w:eastAsia="zh-CN"/>
        </w:rPr>
        <w:t>一百二十六</w:t>
      </w:r>
      <w:r>
        <w:rPr>
          <w:rFonts w:hint="default" w:ascii="Times New Roman" w:hAnsi="Times New Roman" w:cs="Times New Roman"/>
          <w:color w:val="auto"/>
          <w:sz w:val="32"/>
          <w:szCs w:val="32"/>
          <w:u w:val="none"/>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eastAsia="楷体_GB2312" w:cs="Times New Roman"/>
          <w:color w:val="auto"/>
          <w:sz w:val="32"/>
          <w:szCs w:val="32"/>
          <w:u w:val="none"/>
        </w:rPr>
      </w:pPr>
      <w:bookmarkStart w:id="218" w:name="_Toc169989774"/>
      <w:bookmarkStart w:id="219" w:name="_Toc13096"/>
      <w:bookmarkStart w:id="220" w:name="_Toc170218095"/>
      <w:r>
        <w:rPr>
          <w:rFonts w:hint="default" w:ascii="Times New Roman" w:hAnsi="Times New Roman" w:eastAsia="楷体_GB2312" w:cs="Times New Roman"/>
          <w:color w:val="auto"/>
          <w:sz w:val="32"/>
          <w:szCs w:val="32"/>
          <w:u w:val="none"/>
        </w:rPr>
        <w:t>未建立采购进货记录或台账</w:t>
      </w:r>
      <w:bookmarkEnd w:id="218"/>
      <w:bookmarkEnd w:id="219"/>
      <w:bookmarkEnd w:id="220"/>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由县级以上人民政府食品安全监督管理部门责令改正，给予警告；拒不改正的，处5千元以上5万元以下罚款；情节严重的，责令停产停业，直至吊销许可证。</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《中华人民共和国食品安全法》</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一百二十六</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bookmarkStart w:id="221" w:name="_Toc20288"/>
      <w:bookmarkStart w:id="222" w:name="_Toc169989775"/>
      <w:bookmarkStart w:id="223" w:name="_Toc170218096"/>
      <w:r>
        <w:rPr>
          <w:rFonts w:hint="default" w:ascii="Times New Roman" w:hAnsi="Times New Roman" w:eastAsia="楷体_GB2312" w:cs="Times New Roman"/>
          <w:color w:val="auto"/>
          <w:sz w:val="32"/>
          <w:szCs w:val="32"/>
          <w:u w:val="none"/>
        </w:rPr>
        <w:t>未制定食品安全事故处置方案</w:t>
      </w:r>
      <w:bookmarkEnd w:id="221"/>
      <w:bookmarkEnd w:id="222"/>
      <w:bookmarkEnd w:id="223"/>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由县级以上人民政府食品安全监督管理部门责令改正，给予警告；拒不改正的，处5千元以上5万元以下罚款；情节严重的，责令停产停业，直至吊销许可证</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《中华人民共和国食品安全法》</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一百二十六</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bookmarkStart w:id="224" w:name="_Toc21536"/>
      <w:bookmarkStart w:id="225" w:name="_Toc170218097"/>
      <w:bookmarkStart w:id="226" w:name="_Toc169989761"/>
      <w:r>
        <w:rPr>
          <w:rFonts w:hint="default" w:ascii="Times New Roman" w:hAnsi="Times New Roman" w:eastAsia="楷体_GB2312" w:cs="Times New Roman"/>
          <w:color w:val="auto"/>
          <w:sz w:val="32"/>
          <w:szCs w:val="32"/>
          <w:u w:val="none"/>
        </w:rPr>
        <w:t>食堂采购、贮存</w:t>
      </w:r>
      <w:r>
        <w:rPr>
          <w:rFonts w:hint="eastAsia" w:ascii="Times New Roman" w:hAnsi="Times New Roman" w:eastAsia="楷体_GB2312" w:cs="Times New Roman"/>
          <w:color w:val="auto"/>
          <w:sz w:val="32"/>
          <w:szCs w:val="32"/>
          <w:u w:val="none"/>
          <w:lang w:eastAsia="zh-CN"/>
        </w:rPr>
        <w:t>、</w:t>
      </w:r>
      <w:r>
        <w:rPr>
          <w:rFonts w:hint="default" w:ascii="Times New Roman" w:hAnsi="Times New Roman" w:eastAsia="楷体_GB2312" w:cs="Times New Roman"/>
          <w:color w:val="auto"/>
          <w:sz w:val="32"/>
          <w:szCs w:val="32"/>
          <w:u w:val="none"/>
          <w:lang w:eastAsia="zh-CN"/>
        </w:rPr>
        <w:t>使用</w:t>
      </w:r>
      <w:r>
        <w:rPr>
          <w:rFonts w:hint="default" w:ascii="Times New Roman" w:hAnsi="Times New Roman" w:eastAsia="楷体_GB2312" w:cs="Times New Roman"/>
          <w:color w:val="auto"/>
          <w:sz w:val="32"/>
          <w:szCs w:val="32"/>
          <w:u w:val="none"/>
        </w:rPr>
        <w:t>亚硝酸盐（包括亚硝酸钠、亚硝酸钾）</w:t>
      </w:r>
      <w:bookmarkEnd w:id="224"/>
      <w:bookmarkEnd w:id="225"/>
      <w:bookmarkEnd w:id="226"/>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由县级以上人民政府食品安全监督管理部门责令改正，给予警告，并处5千元以上3万元以下罚款。</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《学校食品安全与营养健康管理规定》</w:t>
      </w:r>
      <w:r>
        <w:rPr>
          <w:rFonts w:hint="default" w:ascii="Times New Roman" w:hAnsi="Times New Roman" w:cs="Times New Roman"/>
          <w:color w:val="auto"/>
          <w:sz w:val="32"/>
          <w:szCs w:val="32"/>
          <w:u w:val="none"/>
          <w:lang w:val="en-US" w:eastAsia="zh-CN"/>
        </w:rPr>
        <w:t>第</w:t>
      </w:r>
      <w:r>
        <w:rPr>
          <w:rFonts w:hint="eastAsia" w:ascii="Times New Roman" w:hAnsi="Times New Roman" w:cs="Times New Roman"/>
          <w:color w:val="auto"/>
          <w:sz w:val="32"/>
          <w:szCs w:val="32"/>
          <w:u w:val="none"/>
          <w:lang w:val="en-US" w:eastAsia="zh-CN"/>
        </w:rPr>
        <w:t>五十五</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eastAsia="楷体_GB2312" w:cs="Times New Roman"/>
          <w:color w:val="auto"/>
          <w:sz w:val="32"/>
          <w:szCs w:val="32"/>
          <w:u w:val="none"/>
        </w:rPr>
      </w:pPr>
      <w:bookmarkStart w:id="227" w:name="_Toc170218098"/>
      <w:bookmarkStart w:id="228" w:name="_Toc169989762"/>
      <w:bookmarkStart w:id="229" w:name="_Toc12343"/>
      <w:r>
        <w:rPr>
          <w:rFonts w:hint="default" w:ascii="Times New Roman" w:hAnsi="Times New Roman" w:eastAsia="楷体_GB2312" w:cs="Times New Roman"/>
          <w:color w:val="auto"/>
          <w:sz w:val="32"/>
          <w:szCs w:val="32"/>
          <w:u w:val="none"/>
        </w:rPr>
        <w:t>食堂违规制售冷荤类食品、生食类食品、裱花蛋糕</w:t>
      </w:r>
      <w:bookmarkEnd w:id="227"/>
      <w:bookmarkEnd w:id="228"/>
      <w:bookmarkEnd w:id="229"/>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由县级以上人民政府食品安全监督管理部门责令改正；拒不改正的，给予警告，并处5千元以上3万元以下罚款。</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《学校食品安全与营养健康管理规定》</w:t>
      </w:r>
      <w:r>
        <w:rPr>
          <w:rFonts w:hint="default" w:ascii="Times New Roman" w:hAnsi="Times New Roman" w:cs="Times New Roman"/>
          <w:color w:val="auto"/>
          <w:sz w:val="32"/>
          <w:szCs w:val="32"/>
          <w:u w:val="none"/>
          <w:lang w:val="en-US" w:eastAsia="zh-CN"/>
        </w:rPr>
        <w:t>第</w:t>
      </w:r>
      <w:r>
        <w:rPr>
          <w:rFonts w:hint="eastAsia" w:ascii="Times New Roman" w:hAnsi="Times New Roman" w:cs="Times New Roman"/>
          <w:color w:val="auto"/>
          <w:sz w:val="32"/>
          <w:szCs w:val="32"/>
          <w:u w:val="none"/>
          <w:lang w:val="en-US" w:eastAsia="zh-CN"/>
        </w:rPr>
        <w:t>五十五</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eastAsia="楷体_GB2312" w:cs="Times New Roman"/>
          <w:color w:val="auto"/>
          <w:sz w:val="32"/>
          <w:szCs w:val="32"/>
          <w:u w:val="none"/>
        </w:rPr>
      </w:pPr>
      <w:bookmarkStart w:id="230" w:name="_Toc169989763"/>
      <w:bookmarkStart w:id="231" w:name="_Toc14650"/>
      <w:bookmarkStart w:id="232" w:name="_Toc170218099"/>
      <w:r>
        <w:rPr>
          <w:rFonts w:hint="default" w:ascii="Times New Roman" w:hAnsi="Times New Roman" w:eastAsia="楷体_GB2312" w:cs="Times New Roman"/>
          <w:color w:val="auto"/>
          <w:sz w:val="32"/>
          <w:szCs w:val="32"/>
          <w:u w:val="none"/>
        </w:rPr>
        <w:t>食堂违规加工制作四季豆、鲜黄花菜、野生蘑菇、发芽土豆等高风险食品</w:t>
      </w:r>
      <w:bookmarkEnd w:id="230"/>
      <w:bookmarkEnd w:id="231"/>
      <w:bookmarkEnd w:id="232"/>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由县级以上人民政府食品安全监督管理部门责令改正；拒不改正的，给予警告，并处5千元以上3万元以下罚款。</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《学校食品安全与营养健康管理规定》</w:t>
      </w:r>
      <w:r>
        <w:rPr>
          <w:rFonts w:hint="default" w:ascii="Times New Roman" w:hAnsi="Times New Roman" w:cs="Times New Roman"/>
          <w:color w:val="auto"/>
          <w:sz w:val="32"/>
          <w:szCs w:val="32"/>
          <w:u w:val="none"/>
          <w:lang w:val="en-US" w:eastAsia="zh-CN"/>
        </w:rPr>
        <w:t>第</w:t>
      </w:r>
      <w:r>
        <w:rPr>
          <w:rFonts w:hint="eastAsia" w:ascii="Times New Roman" w:hAnsi="Times New Roman" w:cs="Times New Roman"/>
          <w:color w:val="auto"/>
          <w:sz w:val="32"/>
          <w:szCs w:val="32"/>
          <w:u w:val="none"/>
          <w:lang w:val="en-US" w:eastAsia="zh-CN"/>
        </w:rPr>
        <w:t>五十五</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bookmarkStart w:id="233" w:name="_Toc170218100"/>
      <w:bookmarkStart w:id="234" w:name="_Toc169989780"/>
      <w:bookmarkStart w:id="235" w:name="_Toc28174"/>
      <w:r>
        <w:rPr>
          <w:rFonts w:hint="default" w:ascii="Times New Roman" w:hAnsi="Times New Roman" w:eastAsia="楷体_GB2312" w:cs="Times New Roman"/>
          <w:color w:val="auto"/>
          <w:sz w:val="32"/>
          <w:szCs w:val="32"/>
          <w:u w:val="none"/>
        </w:rPr>
        <w:t>食堂未按照要求留样</w:t>
      </w:r>
      <w:bookmarkEnd w:id="233"/>
      <w:bookmarkEnd w:id="234"/>
      <w:bookmarkEnd w:id="235"/>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由县级以上人民政府食品安全监督管理部门责令改正，给予警告；拒不改正的，处5千元以上3万元以下罚款。</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《学校食品安全与营养健康管理规定》</w:t>
      </w:r>
      <w:r>
        <w:rPr>
          <w:rFonts w:hint="default" w:ascii="Times New Roman" w:hAnsi="Times New Roman" w:cs="Times New Roman"/>
          <w:color w:val="auto"/>
          <w:sz w:val="32"/>
          <w:szCs w:val="32"/>
          <w:u w:val="none"/>
          <w:lang w:val="en-US" w:eastAsia="zh-CN"/>
        </w:rPr>
        <w:t>第</w:t>
      </w:r>
      <w:r>
        <w:rPr>
          <w:rFonts w:hint="eastAsia" w:ascii="Times New Roman" w:hAnsi="Times New Roman" w:cs="Times New Roman"/>
          <w:color w:val="auto"/>
          <w:sz w:val="32"/>
          <w:szCs w:val="32"/>
          <w:u w:val="none"/>
          <w:lang w:val="en-US" w:eastAsia="zh-CN"/>
        </w:rPr>
        <w:t>五十六</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bookmarkStart w:id="236" w:name="_Toc170218101"/>
      <w:bookmarkStart w:id="237" w:name="_Toc10472"/>
      <w:r>
        <w:rPr>
          <w:rFonts w:hint="default" w:ascii="Times New Roman" w:hAnsi="Times New Roman" w:eastAsia="楷体_GB2312" w:cs="Times New Roman"/>
          <w:color w:val="auto"/>
          <w:sz w:val="32"/>
          <w:szCs w:val="32"/>
          <w:u w:val="none"/>
        </w:rPr>
        <w:t>采购食品</w:t>
      </w:r>
      <w:r>
        <w:rPr>
          <w:rFonts w:hint="default" w:ascii="Times New Roman" w:hAnsi="Times New Roman" w:eastAsia="楷体_GB2312" w:cs="Times New Roman"/>
          <w:color w:val="auto"/>
          <w:sz w:val="32"/>
          <w:szCs w:val="32"/>
          <w:u w:val="none"/>
          <w:lang w:eastAsia="zh-CN"/>
        </w:rPr>
        <w:t>及原料</w:t>
      </w:r>
      <w:r>
        <w:rPr>
          <w:rFonts w:hint="default" w:ascii="Times New Roman" w:hAnsi="Times New Roman" w:eastAsia="楷体_GB2312" w:cs="Times New Roman"/>
          <w:color w:val="auto"/>
          <w:sz w:val="32"/>
          <w:szCs w:val="32"/>
          <w:u w:val="none"/>
        </w:rPr>
        <w:t>时未查验</w:t>
      </w:r>
      <w:r>
        <w:rPr>
          <w:rFonts w:hint="default" w:ascii="Times New Roman" w:hAnsi="Times New Roman" w:eastAsia="楷体_GB2312" w:cs="Times New Roman"/>
          <w:color w:val="auto"/>
          <w:sz w:val="32"/>
          <w:szCs w:val="32"/>
          <w:u w:val="none"/>
          <w:lang w:eastAsia="zh-CN"/>
        </w:rPr>
        <w:t>或</w:t>
      </w:r>
      <w:r>
        <w:rPr>
          <w:rFonts w:hint="default" w:ascii="Times New Roman" w:hAnsi="Times New Roman" w:eastAsia="楷体_GB2312" w:cs="Times New Roman"/>
          <w:color w:val="auto"/>
          <w:sz w:val="32"/>
          <w:szCs w:val="32"/>
          <w:u w:val="none"/>
        </w:rPr>
        <w:t>留存</w:t>
      </w:r>
      <w:r>
        <w:rPr>
          <w:rFonts w:hint="default" w:ascii="Times New Roman" w:hAnsi="Times New Roman" w:eastAsia="楷体_GB2312" w:cs="Times New Roman"/>
          <w:color w:val="auto"/>
          <w:sz w:val="32"/>
          <w:szCs w:val="32"/>
          <w:u w:val="none"/>
          <w:lang w:eastAsia="zh-CN"/>
        </w:rPr>
        <w:t>许可相关文件</w:t>
      </w:r>
      <w:bookmarkEnd w:id="236"/>
      <w:bookmarkEnd w:id="237"/>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lang w:eastAsia="zh-CN"/>
        </w:rPr>
        <w:t>未</w:t>
      </w:r>
      <w:r>
        <w:rPr>
          <w:rFonts w:hint="default" w:ascii="Times New Roman" w:hAnsi="Times New Roman" w:cs="Times New Roman"/>
          <w:color w:val="auto"/>
          <w:sz w:val="32"/>
          <w:szCs w:val="32"/>
          <w:u w:val="none"/>
        </w:rPr>
        <w:t>查验</w:t>
      </w:r>
      <w:r>
        <w:rPr>
          <w:rFonts w:hint="default" w:ascii="Times New Roman" w:hAnsi="Times New Roman" w:cs="Times New Roman"/>
          <w:color w:val="auto"/>
          <w:sz w:val="32"/>
          <w:szCs w:val="32"/>
          <w:u w:val="none"/>
          <w:lang w:eastAsia="zh-CN"/>
        </w:rPr>
        <w:t>或</w:t>
      </w:r>
      <w:r>
        <w:rPr>
          <w:rFonts w:hint="default" w:ascii="Times New Roman" w:hAnsi="Times New Roman" w:cs="Times New Roman"/>
          <w:color w:val="auto"/>
          <w:sz w:val="32"/>
          <w:szCs w:val="32"/>
          <w:u w:val="none"/>
        </w:rPr>
        <w:t>留存食品生产者的生产许可证和产品合格证明文件</w:t>
      </w:r>
      <w:r>
        <w:rPr>
          <w:rFonts w:hint="default" w:ascii="Times New Roman" w:hAnsi="Times New Roman" w:cs="Times New Roman"/>
          <w:color w:val="auto"/>
          <w:sz w:val="32"/>
          <w:szCs w:val="32"/>
          <w:u w:val="none"/>
          <w:lang w:eastAsia="zh-CN"/>
        </w:rPr>
        <w:t>、</w:t>
      </w:r>
      <w:r>
        <w:rPr>
          <w:rFonts w:hint="default" w:ascii="Times New Roman" w:hAnsi="Times New Roman" w:cs="Times New Roman"/>
          <w:color w:val="auto"/>
          <w:sz w:val="32"/>
          <w:szCs w:val="32"/>
          <w:u w:val="none"/>
        </w:rPr>
        <w:t>食品经营者的食品经营许可证</w:t>
      </w:r>
      <w:r>
        <w:rPr>
          <w:rFonts w:hint="default" w:ascii="Times New Roman" w:hAnsi="Times New Roman" w:cs="Times New Roman"/>
          <w:color w:val="auto"/>
          <w:sz w:val="32"/>
          <w:szCs w:val="32"/>
          <w:u w:val="none"/>
          <w:lang w:eastAsia="zh-CN"/>
        </w:rPr>
        <w:t>、</w:t>
      </w:r>
      <w:r>
        <w:rPr>
          <w:rFonts w:hint="default" w:ascii="Times New Roman" w:hAnsi="Times New Roman" w:cs="Times New Roman"/>
          <w:color w:val="auto"/>
          <w:sz w:val="32"/>
          <w:szCs w:val="32"/>
          <w:u w:val="none"/>
        </w:rPr>
        <w:t>肉类产品的检疫合格证明</w:t>
      </w:r>
      <w:r>
        <w:rPr>
          <w:rFonts w:hint="default" w:ascii="Times New Roman" w:hAnsi="Times New Roman" w:cs="Times New Roman"/>
          <w:color w:val="auto"/>
          <w:sz w:val="32"/>
          <w:szCs w:val="32"/>
          <w:u w:val="none"/>
          <w:lang w:eastAsia="zh-CN"/>
        </w:rPr>
        <w:t>、</w:t>
      </w:r>
      <w:r>
        <w:rPr>
          <w:rFonts w:hint="default" w:ascii="Times New Roman" w:hAnsi="Times New Roman" w:cs="Times New Roman"/>
          <w:color w:val="auto"/>
          <w:sz w:val="32"/>
          <w:szCs w:val="32"/>
          <w:u w:val="none"/>
        </w:rPr>
        <w:t>肉类制品的检验合格证明等，由县级以上人民政府食品安全监督管理部门责令改正</w:t>
      </w:r>
      <w:r>
        <w:rPr>
          <w:rFonts w:hint="default" w:ascii="Times New Roman" w:hAnsi="Times New Roman" w:cs="Times New Roman"/>
          <w:color w:val="auto"/>
          <w:sz w:val="32"/>
          <w:szCs w:val="32"/>
          <w:u w:val="none"/>
          <w:lang w:eastAsia="zh-CN"/>
        </w:rPr>
        <w:t>，</w:t>
      </w:r>
      <w:r>
        <w:rPr>
          <w:rFonts w:hint="default" w:ascii="Times New Roman" w:hAnsi="Times New Roman" w:cs="Times New Roman"/>
          <w:color w:val="auto"/>
          <w:sz w:val="32"/>
          <w:szCs w:val="32"/>
          <w:u w:val="none"/>
        </w:rPr>
        <w:t>给予警告；拒不改正的，处5千元以上5万元以下罚款。情节严重的，责令停产停业，直至吊销许可证。</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《中华人民共和国食品安全法》</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一百二十六</w:t>
      </w:r>
      <w:r>
        <w:rPr>
          <w:rFonts w:hint="default" w:ascii="Times New Roman" w:hAnsi="Times New Roman" w:cs="Times New Roman"/>
          <w:color w:val="auto"/>
          <w:sz w:val="32"/>
          <w:szCs w:val="32"/>
          <w:u w:val="none"/>
          <w:lang w:val="en-US" w:eastAsia="zh-CN"/>
        </w:rPr>
        <w:t>条、</w:t>
      </w:r>
      <w:r>
        <w:rPr>
          <w:rFonts w:hint="default" w:ascii="Times New Roman" w:hAnsi="Times New Roman" w:cs="Times New Roman"/>
          <w:color w:val="auto"/>
          <w:sz w:val="32"/>
          <w:szCs w:val="32"/>
          <w:u w:val="none"/>
        </w:rPr>
        <w:t>《学校食品安全与营养健康管理规定》</w:t>
      </w:r>
      <w:r>
        <w:rPr>
          <w:rFonts w:hint="default" w:ascii="Times New Roman" w:hAnsi="Times New Roman" w:cs="Times New Roman"/>
          <w:color w:val="auto"/>
          <w:sz w:val="32"/>
          <w:szCs w:val="32"/>
          <w:u w:val="none"/>
          <w:lang w:val="en-US" w:eastAsia="zh-CN"/>
        </w:rPr>
        <w:t>第</w:t>
      </w:r>
      <w:r>
        <w:rPr>
          <w:rFonts w:hint="eastAsia" w:ascii="Times New Roman" w:hAnsi="Times New Roman" w:cs="Times New Roman"/>
          <w:color w:val="auto"/>
          <w:sz w:val="32"/>
          <w:szCs w:val="32"/>
          <w:u w:val="none"/>
          <w:lang w:val="en-US" w:eastAsia="zh-CN"/>
        </w:rPr>
        <w:t>五十四</w:t>
      </w:r>
      <w:r>
        <w:rPr>
          <w:rFonts w:hint="default" w:ascii="Times New Roman" w:hAnsi="Times New Roman" w:cs="Times New Roman"/>
          <w:color w:val="auto"/>
          <w:sz w:val="32"/>
          <w:szCs w:val="32"/>
          <w:u w:val="none"/>
          <w:lang w:val="en-US" w:eastAsia="zh-CN"/>
        </w:rPr>
        <w:t>条）</w:t>
      </w:r>
    </w:p>
    <w:p>
      <w:pPr>
        <w:pageBreakBefore w:val="0"/>
        <w:widowControl w:val="0"/>
        <w:kinsoku/>
        <w:wordWrap/>
        <w:overflowPunct/>
        <w:topLinePunct w:val="0"/>
        <w:autoSpaceDE/>
        <w:autoSpaceDN/>
        <w:bidi w:val="0"/>
        <w:adjustRightInd/>
        <w:spacing w:line="560" w:lineRule="exact"/>
        <w:ind w:firstLine="640"/>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lang w:eastAsia="zh-CN"/>
        </w:rPr>
        <w:t>未</w:t>
      </w:r>
      <w:r>
        <w:rPr>
          <w:rFonts w:hint="default" w:ascii="Times New Roman" w:hAnsi="Times New Roman" w:cs="Times New Roman"/>
          <w:color w:val="auto"/>
          <w:sz w:val="32"/>
          <w:szCs w:val="32"/>
          <w:u w:val="none"/>
        </w:rPr>
        <w:t>查验</w:t>
      </w:r>
      <w:r>
        <w:rPr>
          <w:rFonts w:hint="default" w:ascii="Times New Roman" w:hAnsi="Times New Roman" w:cs="Times New Roman"/>
          <w:color w:val="auto"/>
          <w:sz w:val="32"/>
          <w:szCs w:val="32"/>
          <w:u w:val="none"/>
          <w:lang w:eastAsia="zh-CN"/>
        </w:rPr>
        <w:t>或</w:t>
      </w:r>
      <w:r>
        <w:rPr>
          <w:rFonts w:hint="default" w:ascii="Times New Roman" w:hAnsi="Times New Roman" w:cs="Times New Roman"/>
          <w:color w:val="auto"/>
          <w:sz w:val="32"/>
          <w:szCs w:val="32"/>
          <w:u w:val="none"/>
        </w:rPr>
        <w:t>留存食用农产品生产者社会信用代码或者身份证复印件</w:t>
      </w:r>
      <w:r>
        <w:rPr>
          <w:rFonts w:hint="default" w:ascii="Times New Roman" w:hAnsi="Times New Roman" w:cs="Times New Roman"/>
          <w:color w:val="auto"/>
          <w:sz w:val="32"/>
          <w:szCs w:val="32"/>
          <w:u w:val="none"/>
          <w:lang w:eastAsia="zh-CN"/>
        </w:rPr>
        <w:t>、集中交易市场开办者或者经营者加盖公章（或者负责人签字）的购货凭证的，</w:t>
      </w:r>
      <w:r>
        <w:rPr>
          <w:rFonts w:hint="default" w:ascii="Times New Roman" w:hAnsi="Times New Roman" w:cs="Times New Roman"/>
          <w:color w:val="auto"/>
          <w:sz w:val="32"/>
          <w:szCs w:val="32"/>
          <w:u w:val="none"/>
        </w:rPr>
        <w:t>由县级以上人民政府食品安全监督管理部门责令改正；拒不改正的</w:t>
      </w:r>
      <w:r>
        <w:rPr>
          <w:rFonts w:hint="default" w:ascii="Times New Roman" w:hAnsi="Times New Roman" w:cs="Times New Roman"/>
          <w:color w:val="auto"/>
          <w:sz w:val="32"/>
          <w:szCs w:val="32"/>
          <w:u w:val="none"/>
          <w:lang w:eastAsia="zh-CN"/>
        </w:rPr>
        <w:t>，</w:t>
      </w:r>
      <w:r>
        <w:rPr>
          <w:rFonts w:hint="default" w:ascii="Times New Roman" w:hAnsi="Times New Roman" w:cs="Times New Roman"/>
          <w:color w:val="auto"/>
          <w:sz w:val="32"/>
          <w:szCs w:val="32"/>
          <w:u w:val="none"/>
        </w:rPr>
        <w:t>给予警告，</w:t>
      </w:r>
      <w:r>
        <w:rPr>
          <w:rFonts w:hint="default" w:ascii="Times New Roman" w:hAnsi="Times New Roman" w:cs="Times New Roman"/>
          <w:color w:val="auto"/>
          <w:sz w:val="32"/>
          <w:szCs w:val="32"/>
          <w:u w:val="none"/>
          <w:lang w:eastAsia="zh-CN"/>
        </w:rPr>
        <w:t>并</w:t>
      </w:r>
      <w:r>
        <w:rPr>
          <w:rFonts w:hint="default" w:ascii="Times New Roman" w:hAnsi="Times New Roman" w:cs="Times New Roman"/>
          <w:color w:val="auto"/>
          <w:sz w:val="32"/>
          <w:szCs w:val="32"/>
          <w:u w:val="none"/>
        </w:rPr>
        <w:t>处5千元以上</w:t>
      </w:r>
      <w:r>
        <w:rPr>
          <w:rFonts w:hint="default" w:ascii="Times New Roman" w:hAnsi="Times New Roman" w:cs="Times New Roman"/>
          <w:color w:val="auto"/>
          <w:sz w:val="32"/>
          <w:szCs w:val="32"/>
          <w:u w:val="none"/>
          <w:lang w:val="en-US" w:eastAsia="zh-CN"/>
        </w:rPr>
        <w:t>3</w:t>
      </w:r>
      <w:r>
        <w:rPr>
          <w:rFonts w:hint="default" w:ascii="Times New Roman" w:hAnsi="Times New Roman" w:cs="Times New Roman"/>
          <w:color w:val="auto"/>
          <w:sz w:val="32"/>
          <w:szCs w:val="32"/>
          <w:u w:val="none"/>
        </w:rPr>
        <w:t>万元以下罚款。</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《学校食品安全与营养健康管理规定》</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五十四</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bookmarkStart w:id="238" w:name="_Toc170218103"/>
      <w:bookmarkStart w:id="239" w:name="_Toc169989781"/>
      <w:bookmarkStart w:id="240" w:name="_Toc23718"/>
      <w:r>
        <w:rPr>
          <w:rFonts w:hint="default" w:ascii="Times New Roman" w:hAnsi="Times New Roman" w:eastAsia="楷体_GB2312" w:cs="Times New Roman"/>
          <w:color w:val="auto"/>
          <w:sz w:val="32"/>
          <w:szCs w:val="32"/>
          <w:u w:val="none"/>
          <w:lang w:eastAsia="zh-CN"/>
        </w:rPr>
        <w:t>学校</w:t>
      </w:r>
      <w:r>
        <w:rPr>
          <w:rFonts w:hint="default" w:ascii="Times New Roman" w:hAnsi="Times New Roman" w:eastAsia="楷体_GB2312" w:cs="Times New Roman"/>
          <w:color w:val="auto"/>
          <w:sz w:val="32"/>
          <w:szCs w:val="32"/>
          <w:u w:val="none"/>
        </w:rPr>
        <w:t>未履行食品安全管理责任</w:t>
      </w:r>
      <w:bookmarkEnd w:id="238"/>
      <w:bookmarkEnd w:id="239"/>
      <w:bookmarkEnd w:id="240"/>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由县级以上人民政府食品安全监督管理部门会同</w:t>
      </w:r>
      <w:r>
        <w:rPr>
          <w:rFonts w:hint="eastAsia" w:ascii="Times New Roman" w:hAnsi="Times New Roman" w:cs="Times New Roman"/>
          <w:color w:val="auto"/>
          <w:sz w:val="32"/>
          <w:szCs w:val="32"/>
          <w:u w:val="none"/>
          <w:lang w:eastAsia="zh-CN"/>
        </w:rPr>
        <w:t>教育行政部门</w:t>
      </w:r>
      <w:r>
        <w:rPr>
          <w:rFonts w:hint="default" w:ascii="Times New Roman" w:hAnsi="Times New Roman" w:cs="Times New Roman"/>
          <w:color w:val="auto"/>
          <w:sz w:val="32"/>
          <w:szCs w:val="32"/>
          <w:u w:val="none"/>
        </w:rPr>
        <w:t>对学校主要负责人进行约谈，由学校主管</w:t>
      </w:r>
      <w:r>
        <w:rPr>
          <w:rFonts w:hint="eastAsia" w:ascii="Times New Roman" w:hAnsi="Times New Roman" w:cs="Times New Roman"/>
          <w:color w:val="auto"/>
          <w:sz w:val="32"/>
          <w:szCs w:val="32"/>
          <w:u w:val="none"/>
          <w:lang w:eastAsia="zh-CN"/>
        </w:rPr>
        <w:t>教育行政部门</w:t>
      </w:r>
      <w:r>
        <w:rPr>
          <w:rFonts w:hint="default" w:ascii="Times New Roman" w:hAnsi="Times New Roman" w:cs="Times New Roman"/>
          <w:color w:val="auto"/>
          <w:sz w:val="32"/>
          <w:szCs w:val="32"/>
          <w:u w:val="none"/>
        </w:rPr>
        <w:t>视情节对学校直接负责的主管人员和其他直接责任人员给予相应的处分。实施营养改善计划的学校违反食品安全法律法规以及相关规定的，从重处理。</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《学校食品安全与营养健康管理规定》</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五十七</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bookmarkStart w:id="241" w:name="_Toc170218106"/>
      <w:bookmarkStart w:id="242" w:name="_Toc3971"/>
      <w:bookmarkStart w:id="243" w:name="_Toc169989768"/>
      <w:r>
        <w:rPr>
          <w:rFonts w:hint="default" w:ascii="Times New Roman" w:hAnsi="Times New Roman" w:eastAsia="楷体_GB2312" w:cs="Times New Roman"/>
          <w:color w:val="auto"/>
          <w:sz w:val="32"/>
          <w:szCs w:val="32"/>
          <w:u w:val="none"/>
          <w:lang w:eastAsia="zh-CN"/>
        </w:rPr>
        <w:t>使用超过保质期的食品原料或食品添加剂</w:t>
      </w:r>
      <w:bookmarkEnd w:id="241"/>
      <w:bookmarkEnd w:id="242"/>
      <w:bookmarkEnd w:id="243"/>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违反规定尚不构成犯罪的，由县级以上人民政府食品安全监督管理部门没收违法所得和违法生产经营的食品、食品添加剂，并可以没收用于违法生产经营的工具、设备、原料等物品；违法生产经营的食品、食品添加剂货值金额不足1万元的，并处5万元以上10万元以下罚款；货值金额1万元以上的，并处货值金额10倍以上20倍以下罚款；情节严重的，吊销许可证。</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《中华人民共和国食品安全法》</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一百二十四</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bookmarkStart w:id="244" w:name="_Toc169989769"/>
      <w:bookmarkStart w:id="245" w:name="_Toc170218107"/>
      <w:bookmarkStart w:id="246" w:name="_Toc23730"/>
      <w:r>
        <w:rPr>
          <w:rFonts w:hint="default" w:ascii="Times New Roman" w:hAnsi="Times New Roman" w:eastAsia="楷体_GB2312" w:cs="Times New Roman"/>
          <w:color w:val="auto"/>
          <w:sz w:val="32"/>
          <w:szCs w:val="32"/>
          <w:u w:val="none"/>
          <w:lang w:eastAsia="zh-CN"/>
        </w:rPr>
        <w:t>生产经营腐败变质、油脂酸败等或感官性状异常的食品、食品添加剂</w:t>
      </w:r>
      <w:bookmarkEnd w:id="244"/>
      <w:bookmarkEnd w:id="245"/>
      <w:bookmarkEnd w:id="246"/>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违反规定尚不构成犯罪的，由县级以上人民政府食品安全监督管理部门没收违法所得和违法生产经营的食品、食品添加剂，并可以没收用于违法生产经营的工具、设备、原料等物品；违法生产经营的食品、食品添加剂货值金额不足1万元的，并处5万元以上10万元以下罚款；货值金额1万元以上的，并处货值金额10倍以上20倍以下罚款；情节严重的，吊销许可证。</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《中华人民共和国食品安全法》</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一百二十四</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b/>
          <w:bCs/>
          <w:color w:val="auto"/>
          <w:sz w:val="32"/>
          <w:szCs w:val="32"/>
          <w:u w:val="none"/>
        </w:rPr>
      </w:pPr>
      <w:bookmarkStart w:id="247" w:name="_Toc169989771"/>
      <w:bookmarkStart w:id="248" w:name="_Toc20023"/>
      <w:bookmarkStart w:id="249" w:name="_Toc170218109"/>
      <w:r>
        <w:rPr>
          <w:rFonts w:hint="default" w:ascii="Times New Roman" w:hAnsi="Times New Roman" w:eastAsia="楷体_GB2312" w:cs="Times New Roman"/>
          <w:color w:val="auto"/>
          <w:sz w:val="32"/>
          <w:szCs w:val="32"/>
          <w:u w:val="none"/>
          <w:lang w:eastAsia="zh-CN"/>
        </w:rPr>
        <w:t>生产经营被包装材料、容器、运输工具等污染的食品</w:t>
      </w:r>
      <w:bookmarkEnd w:id="247"/>
      <w:bookmarkEnd w:id="248"/>
      <w:bookmarkEnd w:id="249"/>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县级以上人民政府食品安全监督管理部门没收违法所得和违法生产经营的食品、食品添加剂，并可以没收用于违法生产经营的工具、设备、原料等物品；违法生产经营的食品、食品添加剂货值金额不足1万元的，并处5千元以上5万元以下罚款；货值金额1万元以上的，并处货值金额5倍以上10倍以下罚款；情节严重的，责令停产停业，直至吊销许可证。</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《中华人民共和国食品安全法》</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一百二十五</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b/>
          <w:bCs/>
          <w:color w:val="auto"/>
          <w:sz w:val="32"/>
          <w:szCs w:val="32"/>
          <w:u w:val="none"/>
        </w:rPr>
      </w:pPr>
      <w:bookmarkStart w:id="250" w:name="_Toc169989776"/>
      <w:bookmarkStart w:id="251" w:name="_Toc25900"/>
      <w:bookmarkStart w:id="252" w:name="_Toc170218111"/>
      <w:r>
        <w:rPr>
          <w:rFonts w:hint="default" w:ascii="Times New Roman" w:hAnsi="Times New Roman" w:eastAsia="楷体_GB2312" w:cs="Times New Roman"/>
          <w:color w:val="auto"/>
          <w:sz w:val="32"/>
          <w:szCs w:val="32"/>
          <w:u w:val="none"/>
          <w:lang w:eastAsia="zh-CN"/>
        </w:rPr>
        <w:t>未对餐饮具和盛放直接入口食品的容器洗净、消毒或者清洗消毒不合格</w:t>
      </w:r>
      <w:bookmarkEnd w:id="250"/>
      <w:bookmarkEnd w:id="251"/>
      <w:bookmarkEnd w:id="252"/>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由县级以上人民政府食品安全监督管理部门责令改正，给予警告；拒不改正的，处5千元以上5万元以下罚款；情节严重的，责令停产停业，直至吊销许可证</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《中华人民共和国食品安全法》</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一百二十六</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b/>
          <w:bCs/>
          <w:color w:val="auto"/>
          <w:sz w:val="32"/>
          <w:szCs w:val="32"/>
          <w:u w:val="none"/>
        </w:rPr>
      </w:pPr>
      <w:bookmarkStart w:id="253" w:name="_Toc170218112"/>
      <w:bookmarkStart w:id="254" w:name="_Toc30242"/>
      <w:bookmarkStart w:id="255" w:name="_Toc169989778"/>
      <w:r>
        <w:rPr>
          <w:rFonts w:hint="default" w:ascii="Times New Roman" w:hAnsi="Times New Roman" w:eastAsia="楷体_GB2312" w:cs="Times New Roman"/>
          <w:color w:val="auto"/>
          <w:sz w:val="32"/>
          <w:szCs w:val="32"/>
          <w:u w:val="none"/>
          <w:lang w:eastAsia="zh-CN"/>
        </w:rPr>
        <w:t>违规安排未取得健康证明或者患有国务院卫生行政部门规定的有碍食品安全疾病的人员从事接触直接入口食品的工作</w:t>
      </w:r>
      <w:bookmarkEnd w:id="253"/>
      <w:bookmarkEnd w:id="254"/>
      <w:bookmarkEnd w:id="255"/>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由县级以上人民政府食品安全监督管理部门责令改正，给予警告；拒不改正的，处5千元以上5万元以下罚款；情节严重的，责令停产停业，直至吊销许可证</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《中华人民共和国食品安全法》</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一百二十六</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eastAsia="仿宋_GB2312" w:cs="Times New Roman"/>
          <w:color w:val="auto"/>
          <w:sz w:val="32"/>
          <w:szCs w:val="32"/>
          <w:u w:val="none"/>
          <w:lang w:eastAsia="zh-CN"/>
        </w:rPr>
      </w:pPr>
      <w:bookmarkStart w:id="256" w:name="_Toc170218114"/>
      <w:bookmarkStart w:id="257" w:name="_Toc1518"/>
      <w:bookmarkStart w:id="258" w:name="_Toc169989782"/>
      <w:r>
        <w:rPr>
          <w:rFonts w:hint="default" w:ascii="Times New Roman" w:hAnsi="Times New Roman" w:eastAsia="楷体_GB2312" w:cs="Times New Roman"/>
          <w:color w:val="auto"/>
          <w:sz w:val="32"/>
          <w:szCs w:val="32"/>
          <w:u w:val="none"/>
          <w:lang w:eastAsia="zh-CN"/>
        </w:rPr>
        <w:t>知道或者</w:t>
      </w:r>
      <w:r>
        <w:rPr>
          <w:rFonts w:hint="eastAsia" w:ascii="Times New Roman" w:hAnsi="Times New Roman" w:eastAsia="楷体_GB2312" w:cs="Times New Roman"/>
          <w:color w:val="auto"/>
          <w:sz w:val="32"/>
          <w:szCs w:val="32"/>
          <w:u w:val="none"/>
          <w:lang w:eastAsia="zh-CN"/>
        </w:rPr>
        <w:t>应</w:t>
      </w:r>
      <w:r>
        <w:rPr>
          <w:rFonts w:hint="default" w:ascii="Times New Roman" w:hAnsi="Times New Roman" w:eastAsia="楷体_GB2312" w:cs="Times New Roman"/>
          <w:color w:val="auto"/>
          <w:sz w:val="32"/>
          <w:szCs w:val="32"/>
          <w:u w:val="none"/>
          <w:lang w:eastAsia="zh-CN"/>
        </w:rPr>
        <w:t>知道食品、食品原料劣质或者不合格而采购</w:t>
      </w:r>
      <w:bookmarkEnd w:id="256"/>
      <w:bookmarkEnd w:id="257"/>
      <w:bookmarkEnd w:id="258"/>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由学校主管部门给予警告或者记过处分；情节较重的，</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给予降低岗位等级或者撤职处分；情节严重的，</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给予开除处分；构成犯罪的，依法移送司法机关处理</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《学校食品安全与营养健康管理规定》</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五十八</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bookmarkStart w:id="259" w:name="_Toc169989783"/>
      <w:bookmarkStart w:id="260" w:name="_Toc15859"/>
      <w:bookmarkStart w:id="261" w:name="_Toc170218115"/>
      <w:r>
        <w:rPr>
          <w:rFonts w:hint="default" w:ascii="Times New Roman" w:hAnsi="Times New Roman" w:eastAsia="楷体_GB2312" w:cs="Times New Roman"/>
          <w:color w:val="auto"/>
          <w:sz w:val="32"/>
          <w:szCs w:val="32"/>
          <w:u w:val="none"/>
          <w:lang w:eastAsia="zh-CN"/>
        </w:rPr>
        <w:t>在招投标和物资采购工作中违反有关规定，造成不良影响或者损失</w:t>
      </w:r>
      <w:bookmarkEnd w:id="259"/>
      <w:bookmarkEnd w:id="260"/>
      <w:bookmarkEnd w:id="261"/>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由学校主管部门给予警告或者记过处分；情节较重的，</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给予降低岗位等级或者撤职处分；情节严重的，</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给予开除处分；构成犯罪的，依法移送司法机关处理。</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《学校食品安全与营养健康管理规定》</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五十八</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bookmarkStart w:id="262" w:name="_Toc18460"/>
      <w:bookmarkStart w:id="263" w:name="_Toc169989784"/>
      <w:bookmarkStart w:id="264" w:name="_Toc170218116"/>
      <w:r>
        <w:rPr>
          <w:rFonts w:hint="default" w:ascii="Times New Roman" w:hAnsi="Times New Roman" w:eastAsia="楷体_GB2312" w:cs="Times New Roman"/>
          <w:color w:val="auto"/>
          <w:sz w:val="32"/>
          <w:szCs w:val="32"/>
          <w:u w:val="none"/>
          <w:lang w:eastAsia="zh-CN"/>
        </w:rPr>
        <w:t>怠于履行职责或者工作不负责任、态度恶劣，造成不良影响</w:t>
      </w:r>
      <w:bookmarkEnd w:id="262"/>
      <w:bookmarkEnd w:id="263"/>
      <w:bookmarkEnd w:id="264"/>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由学校主管部门给予警告或者记过处分；情节较重的，</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给予降低岗位等级或者撤职处分；情节严重的，</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给予开除处分；构成犯罪的，依法移送司法机关处理。</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《学校食品安全与营养健康管理规定》</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五十八</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bookmarkStart w:id="265" w:name="_Toc170218117"/>
      <w:bookmarkStart w:id="266" w:name="_Toc169989785"/>
      <w:bookmarkStart w:id="267" w:name="_Toc13406"/>
      <w:r>
        <w:rPr>
          <w:rFonts w:hint="default" w:ascii="Times New Roman" w:hAnsi="Times New Roman" w:eastAsia="楷体_GB2312" w:cs="Times New Roman"/>
          <w:color w:val="auto"/>
          <w:sz w:val="32"/>
          <w:szCs w:val="32"/>
          <w:u w:val="none"/>
          <w:lang w:eastAsia="zh-CN"/>
        </w:rPr>
        <w:t>违规操作致使师生人身遭受损害</w:t>
      </w:r>
      <w:bookmarkEnd w:id="265"/>
      <w:bookmarkEnd w:id="266"/>
      <w:bookmarkEnd w:id="267"/>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由学校主管部门给予警告或者记过处分；情节较重的，</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给予降低岗位等级或者撤职处分；情节严重的，</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给予开除处分；构成犯罪的，依法移送司法机关处理。</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《学校食品安全与营养健康管理规定》</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五十八</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bookmarkStart w:id="268" w:name="_Toc169989786"/>
      <w:bookmarkStart w:id="269" w:name="_Toc170218118"/>
      <w:bookmarkStart w:id="270" w:name="_Toc5049"/>
      <w:r>
        <w:rPr>
          <w:rFonts w:hint="default" w:ascii="Times New Roman" w:hAnsi="Times New Roman" w:eastAsia="楷体_GB2312" w:cs="Times New Roman"/>
          <w:color w:val="auto"/>
          <w:sz w:val="32"/>
          <w:szCs w:val="32"/>
          <w:u w:val="none"/>
          <w:lang w:eastAsia="zh-CN"/>
        </w:rPr>
        <w:t>对发生食品安全事故，擅离职守或者不按规定报告、不采取措施处置或者处置不力</w:t>
      </w:r>
      <w:bookmarkEnd w:id="268"/>
      <w:bookmarkEnd w:id="269"/>
      <w:bookmarkEnd w:id="270"/>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由学校主管部门给予警告或者记过处分；情节较重的，</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给予降低岗位等级或者撤职处分；情节严重的，</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给予开除处分；构成犯罪的，依法移送司法机关处理。</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《学校食品安全与营养健康管理规定》</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五十八</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bookmarkStart w:id="271" w:name="_Toc5106"/>
      <w:bookmarkStart w:id="272" w:name="_Toc170218119"/>
      <w:bookmarkStart w:id="273" w:name="_Toc169989787"/>
      <w:r>
        <w:rPr>
          <w:rFonts w:hint="default" w:ascii="Times New Roman" w:hAnsi="Times New Roman" w:eastAsia="楷体_GB2312" w:cs="Times New Roman"/>
          <w:color w:val="auto"/>
          <w:sz w:val="32"/>
          <w:szCs w:val="32"/>
          <w:u w:val="none"/>
          <w:lang w:eastAsia="zh-CN"/>
        </w:rPr>
        <w:t>隐瞒、谎报、缓报食品安全事故</w:t>
      </w:r>
      <w:bookmarkEnd w:id="271"/>
      <w:bookmarkEnd w:id="272"/>
      <w:bookmarkEnd w:id="273"/>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由学校主管部门会同有关部门视情节给予食品安全管理直接负责的主管人员和其他直接责任人相应的处分；构成犯罪的，依法移送司法机关处理。</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《学校食品安全与营养健康管理规定》</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五十九</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bookmarkStart w:id="274" w:name="_Toc170218120"/>
      <w:bookmarkStart w:id="275" w:name="_Toc22625"/>
      <w:bookmarkStart w:id="276" w:name="_Toc169989788"/>
      <w:r>
        <w:rPr>
          <w:rFonts w:hint="default" w:ascii="Times New Roman" w:hAnsi="Times New Roman" w:eastAsia="楷体_GB2312" w:cs="Times New Roman"/>
          <w:color w:val="auto"/>
          <w:sz w:val="32"/>
          <w:szCs w:val="32"/>
          <w:u w:val="none"/>
          <w:lang w:eastAsia="zh-CN"/>
        </w:rPr>
        <w:t>隐匿、伪造、毁灭、转移不合格食品或者有关证据，逃避检查、使调查难以进行或者责任难以追究</w:t>
      </w:r>
      <w:bookmarkEnd w:id="274"/>
      <w:bookmarkEnd w:id="275"/>
      <w:bookmarkEnd w:id="276"/>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由学校主管部门会同有关部门视情节给予食品安全管理直接负责的主管人员和其他直接责任人相应的处分；构成犯罪的，依法移送司法机关处理。</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《学校食品安全与营养健康管理规定》</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五十九</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bookmarkStart w:id="277" w:name="_Toc169989789"/>
      <w:bookmarkStart w:id="278" w:name="_Toc170218121"/>
      <w:bookmarkStart w:id="279" w:name="_Toc7156"/>
      <w:r>
        <w:rPr>
          <w:rFonts w:hint="default" w:ascii="Times New Roman" w:hAnsi="Times New Roman" w:eastAsia="楷体_GB2312" w:cs="Times New Roman"/>
          <w:color w:val="auto"/>
          <w:sz w:val="32"/>
          <w:szCs w:val="32"/>
          <w:u w:val="none"/>
          <w:lang w:eastAsia="zh-CN"/>
        </w:rPr>
        <w:t>发生食品安全事故，未采取有效控制措施、组织抢救工作致使食物中毒事态扩大，或者未配合有关部门进行食物中毒调查、保留现场</w:t>
      </w:r>
      <w:bookmarkEnd w:id="277"/>
      <w:bookmarkEnd w:id="278"/>
      <w:bookmarkEnd w:id="279"/>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由学校主管部门会同有关部门视情节给予食品安全管理直接负责的主管人员和其他直接责任人相应的处分；构成犯罪的，依法移送司法机关处理。</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《学校食品安全与营养健康管理规定》</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五十九</w:t>
      </w:r>
      <w:r>
        <w:rPr>
          <w:rFonts w:hint="default" w:ascii="Times New Roman" w:hAnsi="Times New Roman" w:cs="Times New Roman"/>
          <w:color w:val="auto"/>
          <w:sz w:val="32"/>
          <w:szCs w:val="32"/>
          <w:u w:val="none"/>
          <w:lang w:val="en-US" w:eastAsia="zh-CN"/>
        </w:rPr>
        <w:t>条）</w:t>
      </w:r>
    </w:p>
    <w:p>
      <w:pPr>
        <w:keepNext w:val="0"/>
        <w:keepLines w:val="0"/>
        <w:pageBreakBefore w:val="0"/>
        <w:widowControl w:val="0"/>
        <w:numPr>
          <w:ilvl w:val="0"/>
          <w:numId w:val="35"/>
        </w:numPr>
        <w:kinsoku/>
        <w:wordWrap/>
        <w:overflowPunct/>
        <w:topLinePunct w:val="0"/>
        <w:autoSpaceDE/>
        <w:autoSpaceDN/>
        <w:bidi w:val="0"/>
        <w:adjustRightInd/>
        <w:spacing w:line="560" w:lineRule="exact"/>
        <w:jc w:val="both"/>
        <w:textAlignment w:val="auto"/>
        <w:rPr>
          <w:rFonts w:hint="default" w:ascii="Times New Roman" w:hAnsi="Times New Roman" w:cs="Times New Roman"/>
          <w:b/>
          <w:bCs/>
          <w:color w:val="auto"/>
          <w:sz w:val="32"/>
          <w:szCs w:val="32"/>
          <w:u w:val="none"/>
        </w:rPr>
      </w:pPr>
      <w:bookmarkStart w:id="280" w:name="_Toc169989790"/>
      <w:bookmarkStart w:id="281" w:name="_Toc170218122"/>
      <w:bookmarkStart w:id="282" w:name="_Toc15878"/>
      <w:r>
        <w:rPr>
          <w:rFonts w:hint="default" w:ascii="Times New Roman" w:hAnsi="Times New Roman" w:eastAsia="楷体_GB2312" w:cs="Times New Roman"/>
          <w:color w:val="auto"/>
          <w:sz w:val="32"/>
          <w:szCs w:val="32"/>
          <w:u w:val="none"/>
          <w:lang w:eastAsia="zh-CN"/>
        </w:rPr>
        <w:t>未取得食品经营许可证而从事食品经营活动</w:t>
      </w:r>
      <w:bookmarkEnd w:id="280"/>
      <w:bookmarkEnd w:id="281"/>
      <w:bookmarkEnd w:id="282"/>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由县级以上人民政府食品安全监督管理部门没收违法所得和违法生产经营的食品以及用于违法生产经营的工具、设备、原料等物品；违法生产经营的食品金额不足1万元的，并处5万元以上10万元以下罚款；货值金额1万元以上的，并处货值金额10倍以上20倍以下罚款。</w:t>
      </w:r>
      <w:r>
        <w:rPr>
          <w:rFonts w:hint="default" w:ascii="Times New Roman" w:hAnsi="Times New Roman" w:cs="Times New Roman"/>
          <w:color w:val="auto"/>
          <w:sz w:val="32"/>
          <w:szCs w:val="32"/>
          <w:u w:val="none"/>
          <w:lang w:eastAsia="zh-CN"/>
        </w:rPr>
        <w:t>（依据：</w:t>
      </w:r>
      <w:r>
        <w:rPr>
          <w:rFonts w:hint="default" w:ascii="Times New Roman" w:hAnsi="Times New Roman" w:cs="Times New Roman"/>
          <w:color w:val="auto"/>
          <w:sz w:val="32"/>
          <w:szCs w:val="32"/>
          <w:u w:val="none"/>
        </w:rPr>
        <w:t>《中华人民共和国食品安全法》</w:t>
      </w:r>
      <w:r>
        <w:rPr>
          <w:rFonts w:hint="default" w:ascii="Times New Roman" w:hAnsi="Times New Roman" w:cs="Times New Roman"/>
          <w:color w:val="auto"/>
          <w:sz w:val="32"/>
          <w:szCs w:val="32"/>
          <w:u w:val="none"/>
          <w:lang w:eastAsia="zh-CN"/>
        </w:rPr>
        <w:t>第</w:t>
      </w:r>
      <w:r>
        <w:rPr>
          <w:rFonts w:hint="eastAsia" w:ascii="Times New Roman" w:hAnsi="Times New Roman" w:cs="Times New Roman"/>
          <w:color w:val="auto"/>
          <w:sz w:val="32"/>
          <w:szCs w:val="32"/>
          <w:u w:val="none"/>
          <w:lang w:val="en-US" w:eastAsia="zh-CN"/>
        </w:rPr>
        <w:t>一百二十二</w:t>
      </w:r>
      <w:r>
        <w:rPr>
          <w:rFonts w:hint="default" w:ascii="Times New Roman" w:hAnsi="Times New Roman" w:cs="Times New Roman"/>
          <w:color w:val="auto"/>
          <w:sz w:val="32"/>
          <w:szCs w:val="32"/>
          <w:u w:val="none"/>
          <w:lang w:val="en-US" w:eastAsia="zh-CN"/>
        </w:rPr>
        <w:t>条）</w:t>
      </w:r>
    </w:p>
    <w:p>
      <w:pPr>
        <w:pageBreakBefore w:val="0"/>
        <w:widowControl w:val="0"/>
        <w:numPr>
          <w:ilvl w:val="0"/>
          <w:numId w:val="34"/>
        </w:numPr>
        <w:kinsoku/>
        <w:wordWrap/>
        <w:overflowPunct/>
        <w:topLinePunct w:val="0"/>
        <w:autoSpaceDE/>
        <w:autoSpaceDN/>
        <w:bidi w:val="0"/>
        <w:adjustRightInd/>
        <w:spacing w:line="560" w:lineRule="exact"/>
        <w:jc w:val="both"/>
        <w:textAlignment w:val="auto"/>
        <w:outlineLvl w:val="1"/>
        <w:rPr>
          <w:rFonts w:hint="eastAsia" w:ascii="方正黑体_GBK" w:hAnsi="方正黑体_GBK" w:eastAsia="方正黑体_GBK" w:cs="方正黑体_GBK"/>
          <w:color w:val="auto"/>
          <w:sz w:val="32"/>
          <w:szCs w:val="32"/>
          <w:u w:val="none"/>
          <w:lang w:val="en-US" w:eastAsia="zh-CN"/>
        </w:rPr>
      </w:pPr>
      <w:bookmarkStart w:id="283" w:name="_Toc18635"/>
      <w:bookmarkStart w:id="284" w:name="_Toc935090045"/>
      <w:r>
        <w:rPr>
          <w:rFonts w:hint="eastAsia" w:ascii="方正黑体_GBK" w:hAnsi="方正黑体_GBK" w:eastAsia="方正黑体_GBK" w:cs="方正黑体_GBK"/>
          <w:color w:val="auto"/>
          <w:sz w:val="32"/>
          <w:szCs w:val="32"/>
          <w:u w:val="none"/>
          <w:lang w:eastAsia="zh-CN"/>
        </w:rPr>
        <w:t>膳食经费管理类</w:t>
      </w:r>
      <w:bookmarkEnd w:id="210"/>
      <w:bookmarkEnd w:id="211"/>
      <w:bookmarkEnd w:id="283"/>
      <w:bookmarkEnd w:id="284"/>
    </w:p>
    <w:p>
      <w:pPr>
        <w:keepNext w:val="0"/>
        <w:keepLines w:val="0"/>
        <w:pageBreakBefore w:val="0"/>
        <w:widowControl w:val="0"/>
        <w:numPr>
          <w:ilvl w:val="0"/>
          <w:numId w:val="36"/>
        </w:numPr>
        <w:kinsoku/>
        <w:wordWrap/>
        <w:overflowPunct/>
        <w:topLinePunct w:val="0"/>
        <w:autoSpaceDE/>
        <w:autoSpaceDN/>
        <w:bidi w:val="0"/>
        <w:adjustRightInd/>
        <w:spacing w:line="560" w:lineRule="exact"/>
        <w:jc w:val="both"/>
        <w:textAlignment w:val="auto"/>
        <w:rPr>
          <w:rFonts w:hint="eastAsia" w:ascii="仿宋_GB2312" w:hAnsi="仿宋_GB2312" w:eastAsia="仿宋_GB2312" w:cs="仿宋_GB2312"/>
          <w:color w:val="auto"/>
          <w:sz w:val="32"/>
          <w:szCs w:val="32"/>
          <w:u w:val="none"/>
        </w:rPr>
      </w:pPr>
      <w:bookmarkStart w:id="285" w:name="_Toc13161"/>
      <w:r>
        <w:rPr>
          <w:rFonts w:hint="default" w:ascii="Times New Roman" w:hAnsi="Times New Roman" w:eastAsia="楷体_GB2312" w:cs="Times New Roman"/>
          <w:color w:val="auto"/>
          <w:sz w:val="32"/>
          <w:szCs w:val="32"/>
          <w:u w:val="none"/>
        </w:rPr>
        <w:t>以个人名义存储伙食费</w:t>
      </w:r>
      <w:bookmarkEnd w:id="285"/>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追究主要责任者和其他直接责任人员的责任，情节较轻的，给予警告处分；情节较重的，给予严重警告处分；情节严重的，给予撤销党内职务处分。</w:t>
      </w:r>
      <w:bookmarkStart w:id="286" w:name="_Toc9856"/>
      <w:r>
        <w:rPr>
          <w:rFonts w:hint="eastAsia" w:ascii="Times New Roman" w:hAnsi="Times New Roman" w:cs="Times New Roman"/>
          <w:color w:val="auto"/>
          <w:sz w:val="32"/>
          <w:szCs w:val="32"/>
          <w:u w:val="none"/>
          <w:lang w:eastAsia="zh-CN"/>
        </w:rPr>
        <w:t>（</w:t>
      </w:r>
      <w:r>
        <w:rPr>
          <w:rFonts w:hint="eastAsia" w:ascii="Times New Roman" w:hAnsi="Times New Roman" w:cs="Times New Roman"/>
          <w:color w:val="auto"/>
          <w:sz w:val="32"/>
          <w:szCs w:val="32"/>
          <w:u w:val="none"/>
          <w:lang w:val="en-US" w:eastAsia="zh-CN"/>
        </w:rPr>
        <w:t>依据：《中国共产党纪律处分条例》第一百一十二条 利用职权或者职务上的影响，违反有关规定占用公物归个人使用，时间超过六个月，情节较重的，给予警告或者严重警告处分；情节严重的，给予撤销党内职务处分。）</w:t>
      </w:r>
    </w:p>
    <w:p>
      <w:pPr>
        <w:keepNext w:val="0"/>
        <w:keepLines w:val="0"/>
        <w:pageBreakBefore w:val="0"/>
        <w:widowControl w:val="0"/>
        <w:numPr>
          <w:ilvl w:val="0"/>
          <w:numId w:val="36"/>
        </w:numPr>
        <w:kinsoku/>
        <w:wordWrap/>
        <w:overflowPunct/>
        <w:topLinePunct w:val="0"/>
        <w:autoSpaceDE/>
        <w:autoSpaceDN/>
        <w:bidi w:val="0"/>
        <w:adjustRightInd/>
        <w:spacing w:line="560" w:lineRule="exact"/>
        <w:jc w:val="both"/>
        <w:textAlignment w:val="auto"/>
        <w:rPr>
          <w:rFonts w:hint="default" w:ascii="Times New Roman" w:hAnsi="Times New Roman" w:cs="Times New Roman"/>
          <w:color w:val="auto"/>
          <w:sz w:val="32"/>
          <w:szCs w:val="32"/>
          <w:u w:val="none"/>
        </w:rPr>
      </w:pPr>
      <w:r>
        <w:rPr>
          <w:rFonts w:hint="default" w:ascii="Times New Roman" w:hAnsi="Times New Roman" w:eastAsia="楷体_GB2312" w:cs="Times New Roman"/>
          <w:color w:val="auto"/>
          <w:sz w:val="32"/>
          <w:szCs w:val="32"/>
          <w:u w:val="none"/>
        </w:rPr>
        <w:t>私设</w:t>
      </w:r>
      <w:r>
        <w:rPr>
          <w:rFonts w:hint="eastAsia" w:ascii="Times New Roman" w:hAnsi="Times New Roman" w:eastAsia="楷体_GB2312" w:cs="Times New Roman"/>
          <w:color w:val="auto"/>
          <w:sz w:val="32"/>
          <w:szCs w:val="32"/>
          <w:u w:val="none"/>
          <w:lang w:eastAsia="zh-CN"/>
        </w:rPr>
        <w:t>“</w:t>
      </w:r>
      <w:r>
        <w:rPr>
          <w:rFonts w:hint="default" w:ascii="Times New Roman" w:hAnsi="Times New Roman" w:eastAsia="楷体_GB2312" w:cs="Times New Roman"/>
          <w:color w:val="auto"/>
          <w:sz w:val="32"/>
          <w:szCs w:val="32"/>
          <w:u w:val="none"/>
        </w:rPr>
        <w:t>小金库</w:t>
      </w:r>
      <w:bookmarkEnd w:id="286"/>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一是有设立</w:t>
      </w:r>
      <w:r>
        <w:rPr>
          <w:rFonts w:hint="eastAsia" w:ascii="仿宋_GB2312" w:hAnsi="仿宋_GB2312" w:eastAsia="仿宋_GB2312" w:cs="仿宋_GB2312"/>
          <w:color w:val="auto"/>
          <w:sz w:val="32"/>
          <w:szCs w:val="32"/>
          <w:u w:val="none"/>
        </w:rPr>
        <w:t>“小金库”</w:t>
      </w:r>
      <w:r>
        <w:rPr>
          <w:rFonts w:hint="default" w:ascii="Times New Roman" w:hAnsi="Times New Roman" w:cs="Times New Roman"/>
          <w:color w:val="auto"/>
          <w:sz w:val="32"/>
          <w:szCs w:val="32"/>
          <w:u w:val="none"/>
        </w:rPr>
        <w:t>行为的，对有关责任人员，给予记过或者记大过处分；情节严重的，给予降级或者撤职处分。二是使用</w:t>
      </w:r>
      <w:r>
        <w:rPr>
          <w:rFonts w:hint="eastAsia" w:ascii="仿宋_GB2312" w:hAnsi="仿宋_GB2312" w:cs="仿宋_GB2312"/>
          <w:color w:val="auto"/>
          <w:sz w:val="32"/>
          <w:szCs w:val="32"/>
          <w:u w:val="none"/>
        </w:rPr>
        <w:t>“</w:t>
      </w:r>
      <w:r>
        <w:rPr>
          <w:rFonts w:hint="default" w:ascii="Times New Roman" w:hAnsi="Times New Roman" w:cs="Times New Roman"/>
          <w:color w:val="auto"/>
          <w:sz w:val="32"/>
          <w:szCs w:val="32"/>
          <w:u w:val="none"/>
        </w:rPr>
        <w:t>小金库</w:t>
      </w:r>
      <w:r>
        <w:rPr>
          <w:rFonts w:hint="eastAsia" w:ascii="仿宋_GB2312" w:hAnsi="仿宋_GB2312" w:cs="仿宋_GB2312"/>
          <w:color w:val="auto"/>
          <w:sz w:val="32"/>
          <w:szCs w:val="32"/>
          <w:u w:val="none"/>
        </w:rPr>
        <w:t>”</w:t>
      </w:r>
      <w:r>
        <w:rPr>
          <w:rFonts w:hint="default" w:ascii="Times New Roman" w:hAnsi="Times New Roman" w:cs="Times New Roman"/>
          <w:color w:val="auto"/>
          <w:sz w:val="32"/>
          <w:szCs w:val="32"/>
          <w:u w:val="none"/>
        </w:rPr>
        <w:t>款项吃喝、旅游、送礼、进行娱乐活动或者有其他类似行为的，对有关责任人员，给予警告处分；情节较重的，给予记过或者记大过处分；情节严重的，给予降级或者撤职处分。三是使用</w:t>
      </w:r>
      <w:r>
        <w:rPr>
          <w:rFonts w:hint="eastAsia" w:ascii="仿宋_GB2312" w:hAnsi="仿宋_GB2312" w:cs="仿宋_GB2312"/>
          <w:color w:val="auto"/>
          <w:sz w:val="32"/>
          <w:szCs w:val="32"/>
          <w:u w:val="none"/>
        </w:rPr>
        <w:t>“小金库”</w:t>
      </w:r>
      <w:r>
        <w:rPr>
          <w:rFonts w:hint="default" w:ascii="Times New Roman" w:hAnsi="Times New Roman" w:cs="Times New Roman"/>
          <w:color w:val="auto"/>
          <w:sz w:val="32"/>
          <w:szCs w:val="32"/>
          <w:u w:val="none"/>
        </w:rPr>
        <w:t>款项提高福利补贴标准或者扩大福利补贴范围、滥发奖金实物或者有类似支出行为的，对有关责任人员，给予警告处分；情节较重的，给予记过或者记大过处分；情节严重的，给予降级或者撤职处分。四是使用</w:t>
      </w:r>
      <w:r>
        <w:rPr>
          <w:rFonts w:hint="eastAsia" w:ascii="仿宋_GB2312" w:hAnsi="仿宋_GB2312" w:eastAsia="仿宋_GB2312" w:cs="仿宋_GB2312"/>
          <w:color w:val="auto"/>
          <w:sz w:val="32"/>
          <w:szCs w:val="32"/>
          <w:u w:val="none"/>
        </w:rPr>
        <w:t>“小金库”款项报销应由个人负担的费用的，对有关责任人员，给予记过或者记大过处分；情节较重的，给予降级或者撤职处分；情节严重的，给予开除处分。</w:t>
      </w:r>
      <w:r>
        <w:rPr>
          <w:rFonts w:hint="eastAsia" w:ascii="仿宋_GB2312" w:hAnsi="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依据：中华人民共和国监察部、中华人民共和国人力资源和社会保障部、中华人民共和国财政部、中华人民共和国审计署令第</w:t>
      </w:r>
      <w:r>
        <w:rPr>
          <w:rFonts w:hint="default" w:ascii="Times New Roman" w:hAnsi="Times New Roman" w:eastAsia="仿宋_GB2312" w:cs="Times New Roman"/>
          <w:color w:val="auto"/>
          <w:sz w:val="32"/>
          <w:szCs w:val="32"/>
          <w:u w:val="none"/>
          <w:lang w:val="en-US" w:eastAsia="zh-CN"/>
        </w:rPr>
        <w:t>19</w:t>
      </w:r>
      <w:r>
        <w:rPr>
          <w:rFonts w:hint="eastAsia" w:ascii="仿宋_GB2312" w:hAnsi="仿宋_GB2312" w:eastAsia="仿宋_GB2312" w:cs="仿宋_GB2312"/>
          <w:color w:val="auto"/>
          <w:sz w:val="32"/>
          <w:szCs w:val="32"/>
          <w:u w:val="none"/>
          <w:lang w:val="en-US" w:eastAsia="zh-CN"/>
        </w:rPr>
        <w:t>号《设立“小金库”和使用“小金库”款项违法违纪行为政纪处分暂行规定》</w:t>
      </w:r>
      <w:r>
        <w:rPr>
          <w:rFonts w:hint="eastAsia" w:ascii="仿宋_GB2312" w:hAnsi="仿宋_GB2312" w:cs="仿宋_GB2312"/>
          <w:color w:val="auto"/>
          <w:sz w:val="32"/>
          <w:szCs w:val="32"/>
          <w:u w:val="none"/>
          <w:lang w:val="en-US" w:eastAsia="zh-CN"/>
        </w:rPr>
        <w:t>）</w:t>
      </w:r>
    </w:p>
    <w:p>
      <w:pPr>
        <w:keepNext w:val="0"/>
        <w:keepLines w:val="0"/>
        <w:pageBreakBefore w:val="0"/>
        <w:widowControl w:val="0"/>
        <w:numPr>
          <w:ilvl w:val="0"/>
          <w:numId w:val="36"/>
        </w:numPr>
        <w:kinsoku/>
        <w:wordWrap/>
        <w:overflowPunct/>
        <w:topLinePunct w:val="0"/>
        <w:autoSpaceDE/>
        <w:autoSpaceDN/>
        <w:bidi w:val="0"/>
        <w:adjustRightInd/>
        <w:spacing w:line="560" w:lineRule="exact"/>
        <w:jc w:val="both"/>
        <w:textAlignment w:val="auto"/>
        <w:rPr>
          <w:rFonts w:hint="eastAsia" w:ascii="Times New Roman" w:hAnsi="Times New Roman" w:eastAsia="仿宋_GB2312" w:cs="Times New Roman"/>
          <w:color w:val="auto"/>
          <w:sz w:val="32"/>
          <w:szCs w:val="32"/>
          <w:u w:val="none"/>
          <w:lang w:val="en-US" w:eastAsia="zh-CN"/>
        </w:rPr>
      </w:pPr>
      <w:bookmarkStart w:id="287" w:name="_Toc4707"/>
      <w:r>
        <w:rPr>
          <w:rFonts w:hint="default" w:ascii="Times New Roman" w:hAnsi="Times New Roman" w:eastAsia="楷体_GB2312" w:cs="Times New Roman"/>
          <w:color w:val="auto"/>
          <w:sz w:val="32"/>
          <w:szCs w:val="32"/>
          <w:u w:val="none"/>
        </w:rPr>
        <w:t>伪造、变造或者隐匿、故意销毁会计凭证、会计账簿，或者编制虚假财务会计报告</w:t>
      </w:r>
      <w:r>
        <w:rPr>
          <w:rFonts w:hint="eastAsia" w:ascii="Times New Roman" w:hAnsi="Times New Roman" w:eastAsia="楷体_GB2312" w:cs="Times New Roman"/>
          <w:color w:val="auto"/>
          <w:sz w:val="32"/>
          <w:szCs w:val="32"/>
          <w:u w:val="none"/>
          <w:lang w:eastAsia="zh-CN"/>
        </w:rPr>
        <w:t>：</w:t>
      </w:r>
      <w:r>
        <w:rPr>
          <w:rFonts w:hint="default" w:ascii="Times New Roman" w:hAnsi="Times New Roman" w:cs="Times New Roman"/>
          <w:color w:val="auto"/>
          <w:sz w:val="32"/>
          <w:szCs w:val="32"/>
          <w:u w:val="none"/>
        </w:rPr>
        <w:t>在财务管理活动中违反会计法律、法规的，追究主要责任者和其他直接责任人员的责任，情节较轻的，给予警告或者严重警告处分；情节较重的，给予撤销党内职务或者留党察看处分；情节严重的，给予开除党籍处分。伪造、变造会计凭证、会计账簿，或者编制虚假财务会计报告，或者隐匿、故意销毁依法</w:t>
      </w:r>
      <w:r>
        <w:rPr>
          <w:rFonts w:hint="eastAsia" w:ascii="Times New Roman" w:hAnsi="Times New Roman" w:cs="Times New Roman"/>
          <w:color w:val="auto"/>
          <w:sz w:val="32"/>
          <w:szCs w:val="32"/>
          <w:u w:val="none"/>
          <w:lang w:eastAsia="zh-CN"/>
        </w:rPr>
        <w:t>应</w:t>
      </w:r>
      <w:r>
        <w:rPr>
          <w:rFonts w:hint="default" w:ascii="Times New Roman" w:hAnsi="Times New Roman" w:cs="Times New Roman"/>
          <w:color w:val="auto"/>
          <w:sz w:val="32"/>
          <w:szCs w:val="32"/>
          <w:u w:val="none"/>
        </w:rPr>
        <w:t>保存的会计凭证、会计账簿、财务会计报告的，对主要责任者和其他直接责任人员，依照前款规定从重或者加重处分</w:t>
      </w:r>
      <w:r>
        <w:rPr>
          <w:rFonts w:hint="eastAsia" w:ascii="Times New Roman" w:hAnsi="Times New Roman" w:cs="Times New Roman"/>
          <w:color w:val="auto"/>
          <w:sz w:val="32"/>
          <w:szCs w:val="32"/>
          <w:u w:val="none"/>
          <w:lang w:eastAsia="zh-CN"/>
        </w:rPr>
        <w:t>。（</w:t>
      </w:r>
      <w:r>
        <w:rPr>
          <w:rFonts w:hint="eastAsia" w:ascii="Times New Roman" w:hAnsi="Times New Roman" w:cs="Times New Roman"/>
          <w:color w:val="auto"/>
          <w:sz w:val="32"/>
          <w:szCs w:val="32"/>
          <w:u w:val="none"/>
          <w:lang w:val="en-US" w:eastAsia="zh-CN"/>
        </w:rPr>
        <w:t>依据：</w:t>
      </w:r>
      <w:r>
        <w:rPr>
          <w:rFonts w:hint="eastAsia" w:ascii="Times New Roman" w:hAnsi="Times New Roman" w:cs="Times New Roman"/>
          <w:color w:val="auto"/>
          <w:sz w:val="32"/>
          <w:szCs w:val="32"/>
          <w:u w:val="none"/>
          <w:lang w:val="en-US" w:eastAsia="zh-CN"/>
        </w:rPr>
        <w:fldChar w:fldCharType="begin"/>
      </w:r>
      <w:r>
        <w:rPr>
          <w:rFonts w:hint="eastAsia" w:ascii="Times New Roman" w:hAnsi="Times New Roman" w:cs="Times New Roman"/>
          <w:color w:val="auto"/>
          <w:sz w:val="32"/>
          <w:szCs w:val="32"/>
          <w:u w:val="none"/>
          <w:lang w:val="en-US" w:eastAsia="zh-CN"/>
        </w:rPr>
        <w:instrText xml:space="preserve"> HYPERLINK "https://www.baidu.com/s?sa=re_dqa_generate&amp;wd=%E3%80%8A%E4%B8%AD%E5%8D%8E%E4%BA%BA%E6%B0%91%E5%85%B1%E5%92%8C%E5%9B%BD%E4%BC%9A%E8%AE%A1%E6%B3%95%E3%80%8B&amp;rsv_pq=d7054518006b1526&amp;oq=%E4%BC%AA%E9%80%A0%E3%80%81%E5%8F%98%E9%80%A0%E6%88%96%E8%80%85%E9%9A%90%E5%8C%BF%E3%80%81%E6%95%85%E6%84%8F%E9%94%80%E6%AF%81%E4%BC%9A%E8%AE%A1%E5%87%AD%E8%AF%81%E3%80%81%E4%BC%9A%E8%AE%A1%E8%B4%A6%E7%B0%BF,%E6%88%96%E8%80%85%E7%BC%96%E5%88%B6%E8%99%9A%E5%81%87%E8%B4%A2%E5%8A%A1%E4%BC%9A%E8%AE%A1%E6%8A%A5%E5%91%8A&amp;rsv_t=d77aiE91RXCogxe56qWob1V8narn8f9Ve2pPUS1lju01N+f158BnU15OgjTVKurgCVL5hLwzb8VfWg&amp;tn=02003390_114_hao_pg&amp;ie=utf-8" \t "https://www.baidu.com/undefined" </w:instrText>
      </w:r>
      <w:r>
        <w:rPr>
          <w:rFonts w:hint="eastAsia" w:ascii="Times New Roman" w:hAnsi="Times New Roman" w:cs="Times New Roman"/>
          <w:color w:val="auto"/>
          <w:sz w:val="32"/>
          <w:szCs w:val="32"/>
          <w:u w:val="none"/>
          <w:lang w:val="en-US" w:eastAsia="zh-CN"/>
        </w:rPr>
        <w:fldChar w:fldCharType="separate"/>
      </w:r>
      <w:r>
        <w:rPr>
          <w:rFonts w:hint="eastAsia" w:ascii="Times New Roman" w:hAnsi="Times New Roman" w:cs="Times New Roman"/>
          <w:color w:val="auto"/>
          <w:sz w:val="32"/>
          <w:szCs w:val="32"/>
          <w:u w:val="none"/>
          <w:lang w:val="en-US" w:eastAsia="zh-CN"/>
        </w:rPr>
        <w:t>《中华人民共和国会计法》</w:t>
      </w:r>
      <w:r>
        <w:rPr>
          <w:rFonts w:hint="eastAsia" w:ascii="Times New Roman" w:hAnsi="Times New Roman" w:cs="Times New Roman"/>
          <w:color w:val="auto"/>
          <w:sz w:val="32"/>
          <w:szCs w:val="32"/>
          <w:u w:val="none"/>
          <w:lang w:val="en-US" w:eastAsia="zh-CN"/>
        </w:rPr>
        <w:fldChar w:fldCharType="end"/>
      </w:r>
      <w:r>
        <w:rPr>
          <w:rFonts w:hint="eastAsia" w:ascii="Times New Roman" w:hAnsi="Times New Roman" w:cs="Times New Roman"/>
          <w:color w:val="auto"/>
          <w:sz w:val="32"/>
          <w:szCs w:val="32"/>
          <w:u w:val="none"/>
          <w:lang w:val="en-US" w:eastAsia="zh-CN"/>
        </w:rPr>
        <w:t>第四十一条、第四十二条、第四十三条给予相应法律和行政处罚，</w:t>
      </w:r>
      <w:r>
        <w:rPr>
          <w:rFonts w:hint="eastAsia" w:ascii="Times New Roman" w:hAnsi="Times New Roman" w:cs="Times New Roman"/>
          <w:color w:val="auto"/>
          <w:sz w:val="32"/>
          <w:szCs w:val="32"/>
          <w:u w:val="none"/>
          <w:lang w:val="en-US" w:eastAsia="zh-CN"/>
        </w:rPr>
        <w:fldChar w:fldCharType="begin"/>
      </w:r>
      <w:r>
        <w:rPr>
          <w:rFonts w:hint="eastAsia" w:ascii="Times New Roman" w:hAnsi="Times New Roman" w:cs="Times New Roman"/>
          <w:color w:val="auto"/>
          <w:sz w:val="32"/>
          <w:szCs w:val="32"/>
          <w:u w:val="none"/>
          <w:lang w:val="en-US" w:eastAsia="zh-CN"/>
        </w:rPr>
        <w:instrText xml:space="preserve"> HYPERLINK "https://www.baidu.com/s?sa=re_dqa_generate&amp;wd=%E3%80%8A%E4%B8%AD%E5%9B%BD%E5%85%B1%E4%BA%A7%E5%85%9A%E7%BA%AA%E5%BE%8B%E5%A4%84%E5%88%86%E6%9D%A1%E4%BE%8B%E3%80%8B&amp;rsv_pq=cfc44ed900feab2c&amp;oq=%E5%9C%A8%E8%B4%A2%E5%8A%A1%E7%AE%A1%E7%90%86%E6%B4%BB%E5%8A%A8%E4%B8%AD%E8%BF%9D%E5%8F%8D%E4%BC%9A%E8%AE%A1%E6%B3%95%E5%BE%8B%E3%80%81%E6%B3%95%E8%A7%84%E7%9A%84,%E8%BF%BD%E7%A9%B6%E4%B8%BB%E8%A6%81%E8%B4%A3%E4%BB%BB%E8%80%85%E5%92%8C%E5%85%B6%E4%BB%96%E7%9B%B4%E6%8E%A5%E8%B4%A3%E4%BB%BB%E4%BA%BA%E5%91%98%E7%9A%84%E8%B4%A3%E4%BB%BB,&amp;rsv_t=42dfO/b+hPW5LN0pKPk48/QScX2vRYPihHhDc7fQLKQWCczyMNRKneWzPIrGqKgB5NWJLY1/BysS2w&amp;tn=02003390_114_hao_pg&amp;ie=utf-8" \t "https://www.baidu.com/undefined" </w:instrText>
      </w:r>
      <w:r>
        <w:rPr>
          <w:rFonts w:hint="eastAsia" w:ascii="Times New Roman" w:hAnsi="Times New Roman" w:cs="Times New Roman"/>
          <w:color w:val="auto"/>
          <w:sz w:val="32"/>
          <w:szCs w:val="32"/>
          <w:u w:val="none"/>
          <w:lang w:val="en-US" w:eastAsia="zh-CN"/>
        </w:rPr>
        <w:fldChar w:fldCharType="separate"/>
      </w:r>
      <w:r>
        <w:rPr>
          <w:rFonts w:hint="eastAsia" w:ascii="Times New Roman" w:hAnsi="Times New Roman" w:cs="Times New Roman"/>
          <w:color w:val="auto"/>
          <w:sz w:val="32"/>
          <w:szCs w:val="32"/>
          <w:u w:val="none"/>
          <w:lang w:val="en-US" w:eastAsia="zh-CN"/>
        </w:rPr>
        <w:t>《中国共产党纪律处分条例》</w:t>
      </w:r>
      <w:r>
        <w:rPr>
          <w:rFonts w:hint="eastAsia" w:ascii="Times New Roman" w:hAnsi="Times New Roman" w:cs="Times New Roman"/>
          <w:color w:val="auto"/>
          <w:sz w:val="32"/>
          <w:szCs w:val="32"/>
          <w:u w:val="none"/>
          <w:lang w:val="en-US" w:eastAsia="zh-CN"/>
        </w:rPr>
        <w:fldChar w:fldCharType="end"/>
      </w:r>
      <w:r>
        <w:rPr>
          <w:rFonts w:hint="eastAsia" w:ascii="Times New Roman" w:hAnsi="Times New Roman" w:cs="Times New Roman"/>
          <w:color w:val="auto"/>
          <w:sz w:val="32"/>
          <w:szCs w:val="32"/>
          <w:u w:val="none"/>
          <w:lang w:val="en-US" w:eastAsia="zh-CN"/>
        </w:rPr>
        <w:t>第三十条 违反国家财经纪律，在公共资金收支、税务管理、国有资产管理、政府采购管理、金融管理、财务会计管理等财经活动中有违法行为的，依照前款规定处理</w:t>
      </w:r>
      <w:r>
        <w:rPr>
          <w:rFonts w:hint="eastAsia" w:ascii="仿宋_GB2312" w:hAnsi="仿宋_GB2312" w:cs="仿宋_GB2312"/>
          <w:color w:val="auto"/>
          <w:sz w:val="32"/>
          <w:szCs w:val="32"/>
          <w:u w:val="none"/>
          <w:lang w:val="en-US" w:eastAsia="zh-CN"/>
        </w:rPr>
        <w:t>）</w:t>
      </w:r>
    </w:p>
    <w:p>
      <w:pPr>
        <w:keepNext w:val="0"/>
        <w:keepLines w:val="0"/>
        <w:pageBreakBefore w:val="0"/>
        <w:widowControl w:val="0"/>
        <w:numPr>
          <w:ilvl w:val="0"/>
          <w:numId w:val="36"/>
        </w:numPr>
        <w:kinsoku/>
        <w:wordWrap/>
        <w:overflowPunct/>
        <w:topLinePunct w:val="0"/>
        <w:autoSpaceDE/>
        <w:autoSpaceDN/>
        <w:bidi w:val="0"/>
        <w:adjustRightInd/>
        <w:spacing w:line="560" w:lineRule="exact"/>
        <w:jc w:val="both"/>
        <w:textAlignment w:val="auto"/>
        <w:rPr>
          <w:rFonts w:hint="eastAsia" w:ascii="Times New Roman" w:hAnsi="Times New Roman" w:eastAsia="仿宋_GB2312" w:cs="Times New Roman"/>
          <w:color w:val="auto"/>
          <w:sz w:val="32"/>
          <w:szCs w:val="32"/>
          <w:u w:val="none"/>
          <w:lang w:val="en-US" w:eastAsia="zh-CN"/>
        </w:rPr>
      </w:pPr>
      <w:r>
        <w:rPr>
          <w:rFonts w:hint="eastAsia" w:ascii="Times New Roman" w:hAnsi="Times New Roman" w:eastAsia="楷体_GB2312" w:cs="Times New Roman"/>
          <w:color w:val="auto"/>
          <w:kern w:val="2"/>
          <w:sz w:val="32"/>
          <w:szCs w:val="32"/>
          <w:u w:val="none"/>
          <w:lang w:val="en-US" w:eastAsia="zh-CN" w:bidi="ar-SA"/>
        </w:rPr>
        <w:t>必须进行招标的项目而不招标的，</w:t>
      </w:r>
      <w:r>
        <w:rPr>
          <w:rFonts w:hint="eastAsia" w:ascii="楷体_GB2312" w:hAnsi="楷体_GB2312" w:eastAsia="楷体_GB2312" w:cs="楷体_GB2312"/>
          <w:color w:val="auto"/>
          <w:kern w:val="2"/>
          <w:sz w:val="32"/>
          <w:szCs w:val="32"/>
          <w:u w:val="none"/>
          <w:lang w:val="en-US" w:eastAsia="zh-CN" w:bidi="ar-SA"/>
        </w:rPr>
        <w:t>将必须进行招标的项目化整为零或者以其他任何方式规避招标的：</w:t>
      </w:r>
      <w:r>
        <w:rPr>
          <w:rFonts w:hint="eastAsia" w:ascii="仿宋_GB2312" w:hAnsi="仿宋_GB2312" w:eastAsia="仿宋_GB2312" w:cs="仿宋_GB2312"/>
          <w:color w:val="auto"/>
          <w:kern w:val="2"/>
          <w:sz w:val="32"/>
          <w:szCs w:val="32"/>
          <w:u w:val="none"/>
          <w:lang w:val="en-US" w:eastAsia="zh-CN" w:bidi="ar-SA"/>
        </w:rPr>
        <w:t>责令限期改正，可以处项目合同金额千分之五以上千分之十以下的罚款；对全部或者部分使用国有资金的项目，可以暂停项目执行或者暂停资金拨付；对单位直接负责的主管人员和其他直接责任人员依法给予处分</w:t>
      </w:r>
      <w:r>
        <w:rPr>
          <w:rFonts w:hint="eastAsia" w:ascii="Times New Roman" w:hAnsi="Times New Roman" w:eastAsia="楷体_GB2312" w:cs="Times New Roman"/>
          <w:color w:val="auto"/>
          <w:kern w:val="2"/>
          <w:sz w:val="32"/>
          <w:szCs w:val="32"/>
          <w:u w:val="none"/>
          <w:lang w:val="en-US" w:eastAsia="zh-CN" w:bidi="ar-SA"/>
        </w:rPr>
        <w:t>。（</w:t>
      </w:r>
      <w:r>
        <w:rPr>
          <w:rFonts w:hint="eastAsia" w:ascii="仿宋_GB2312" w:hAnsi="仿宋_GB2312" w:eastAsia="仿宋_GB2312" w:cs="仿宋_GB2312"/>
          <w:color w:val="auto"/>
          <w:kern w:val="2"/>
          <w:sz w:val="32"/>
          <w:szCs w:val="32"/>
          <w:u w:val="none"/>
          <w:lang w:val="en-US" w:eastAsia="zh-CN" w:bidi="ar-SA"/>
        </w:rPr>
        <w:t>依</w:t>
      </w:r>
      <w:r>
        <w:rPr>
          <w:rFonts w:hint="eastAsia" w:ascii="Times New Roman" w:hAnsi="Times New Roman" w:eastAsia="仿宋_GB2312" w:cs="Times New Roman"/>
          <w:color w:val="auto"/>
          <w:kern w:val="2"/>
          <w:sz w:val="32"/>
          <w:szCs w:val="32"/>
          <w:u w:val="none"/>
          <w:lang w:val="en-US" w:eastAsia="zh-CN" w:bidi="ar-SA"/>
        </w:rPr>
        <w:t>据：</w:t>
      </w:r>
      <w:r>
        <w:rPr>
          <w:rFonts w:hint="eastAsia" w:ascii="Times New Roman" w:hAnsi="Times New Roman" w:eastAsia="仿宋_GB2312" w:cs="Times New Roman"/>
          <w:color w:val="auto"/>
          <w:kern w:val="2"/>
          <w:sz w:val="32"/>
          <w:szCs w:val="32"/>
          <w:u w:val="none"/>
          <w:lang w:val="en-US" w:eastAsia="zh-CN" w:bidi="ar-SA"/>
        </w:rPr>
        <w:fldChar w:fldCharType="begin"/>
      </w:r>
      <w:r>
        <w:rPr>
          <w:rFonts w:hint="eastAsia" w:ascii="Times New Roman" w:hAnsi="Times New Roman" w:eastAsia="仿宋_GB2312" w:cs="Times New Roman"/>
          <w:color w:val="auto"/>
          <w:kern w:val="2"/>
          <w:sz w:val="32"/>
          <w:szCs w:val="32"/>
          <w:u w:val="none"/>
          <w:lang w:val="en-US" w:eastAsia="zh-CN" w:bidi="ar-SA"/>
        </w:rPr>
        <w:instrText xml:space="preserve"> HYPERLINK "https://www.baidu.com/s?sa=re_dqa_generate&amp;wd=%E3%80%8A%E4%B8%AD%E5%8D%8E%E4%BA%BA%E6%B0%91%E5%85%B1%E5%92%8C%E5%9B%BD%E4%BC%9A%E8%AE%A1%E6%B3%95%E3%80%8B&amp;rsv_pq=d7054518006b1526&amp;oq=%E4%BC%AA%E9%80%A0%E3%80%81%E5%8F%98%E9%80%A0%E6%88%96%E8%80%85%E9%9A%90%E5%8C%BF%E3%80%81%E6%95%85%E6%84%8F%E9%94%80%E6%AF%81%E4%BC%9A%E8%AE%A1%E5%87%AD%E8%AF%81%E3%80%81%E4%BC%9A%E8%AE%A1%E8%B4%A6%E7%B0%BF,%E6%88%96%E8%80%85%E7%BC%96%E5%88%B6%E8%99%9A%E5%81%87%E8%B4%A2%E5%8A%A1%E4%BC%9A%E8%AE%A1%E6%8A%A5%E5%91%8A&amp;rsv_t=d77aiE91RXCogxe56qWob1V8narn8f9Ve2pPUS1lju01N+f158BnU15OgjTVKurgCVL5hLwzb8VfWg&amp;tn=02003390_114_hao_pg&amp;ie=utf-8" \t "https://www.baidu.com/undefined" </w:instrText>
      </w:r>
      <w:r>
        <w:rPr>
          <w:rFonts w:hint="eastAsia" w:ascii="Times New Roman" w:hAnsi="Times New Roman" w:eastAsia="仿宋_GB2312" w:cs="Times New Roman"/>
          <w:color w:val="auto"/>
          <w:kern w:val="2"/>
          <w:sz w:val="32"/>
          <w:szCs w:val="32"/>
          <w:u w:val="none"/>
          <w:lang w:val="en-US" w:eastAsia="zh-CN" w:bidi="ar-SA"/>
        </w:rPr>
        <w:fldChar w:fldCharType="separate"/>
      </w:r>
      <w:r>
        <w:rPr>
          <w:rFonts w:hint="eastAsia" w:ascii="Times New Roman" w:hAnsi="Times New Roman" w:eastAsia="仿宋_GB2312" w:cs="Times New Roman"/>
          <w:color w:val="auto"/>
          <w:kern w:val="2"/>
          <w:sz w:val="32"/>
          <w:szCs w:val="32"/>
          <w:u w:val="none"/>
          <w:lang w:val="en-US" w:eastAsia="zh-CN" w:bidi="ar-SA"/>
        </w:rPr>
        <w:t>《中华人民共和国招标投标法》</w:t>
      </w:r>
      <w:r>
        <w:rPr>
          <w:rFonts w:hint="eastAsia" w:ascii="Times New Roman" w:hAnsi="Times New Roman" w:eastAsia="仿宋_GB2312" w:cs="Times New Roman"/>
          <w:color w:val="auto"/>
          <w:kern w:val="2"/>
          <w:sz w:val="32"/>
          <w:szCs w:val="32"/>
          <w:u w:val="none"/>
          <w:lang w:val="en-US" w:eastAsia="zh-CN" w:bidi="ar-SA"/>
        </w:rPr>
        <w:fldChar w:fldCharType="end"/>
      </w:r>
      <w:r>
        <w:rPr>
          <w:rFonts w:hint="eastAsia" w:ascii="Times New Roman" w:hAnsi="Times New Roman" w:eastAsia="仿宋_GB2312" w:cs="Times New Roman"/>
          <w:color w:val="auto"/>
          <w:kern w:val="2"/>
          <w:sz w:val="32"/>
          <w:szCs w:val="32"/>
          <w:u w:val="none"/>
          <w:lang w:val="en-US" w:eastAsia="zh-CN" w:bidi="ar-SA"/>
        </w:rPr>
        <w:t>第五章第四十九条</w:t>
      </w:r>
      <w:r>
        <w:rPr>
          <w:rFonts w:hint="eastAsia" w:ascii="Times New Roman" w:hAnsi="Times New Roman" w:cs="Times New Roman"/>
          <w:color w:val="auto"/>
          <w:kern w:val="2"/>
          <w:sz w:val="32"/>
          <w:szCs w:val="32"/>
          <w:u w:val="none"/>
          <w:lang w:val="en-US" w:eastAsia="zh-CN" w:bidi="ar-SA"/>
        </w:rPr>
        <w:t>）</w:t>
      </w:r>
    </w:p>
    <w:p>
      <w:pPr>
        <w:keepNext w:val="0"/>
        <w:keepLines w:val="0"/>
        <w:pageBreakBefore w:val="0"/>
        <w:widowControl w:val="0"/>
        <w:numPr>
          <w:ilvl w:val="0"/>
          <w:numId w:val="36"/>
        </w:numPr>
        <w:kinsoku/>
        <w:wordWrap/>
        <w:overflowPunct/>
        <w:topLinePunct w:val="0"/>
        <w:autoSpaceDE/>
        <w:autoSpaceDN/>
        <w:bidi w:val="0"/>
        <w:adjustRightInd/>
        <w:spacing w:line="560" w:lineRule="exact"/>
        <w:jc w:val="both"/>
        <w:textAlignment w:val="auto"/>
        <w:rPr>
          <w:rFonts w:hint="eastAsia" w:ascii="Times New Roman" w:hAnsi="Times New Roman" w:eastAsia="仿宋_GB2312" w:cs="Times New Roman"/>
          <w:color w:val="auto"/>
          <w:sz w:val="32"/>
          <w:szCs w:val="32"/>
          <w:u w:val="none"/>
          <w:lang w:val="en-US" w:eastAsia="zh-CN"/>
        </w:rPr>
      </w:pPr>
      <w:r>
        <w:rPr>
          <w:rFonts w:hint="eastAsia" w:ascii="楷体_GB2312" w:hAnsi="楷体_GB2312" w:eastAsia="楷体_GB2312" w:cs="楷体_GB2312"/>
          <w:color w:val="auto"/>
          <w:sz w:val="32"/>
          <w:szCs w:val="32"/>
          <w:u w:val="none"/>
          <w:lang w:val="en-US" w:eastAsia="zh-CN"/>
        </w:rPr>
        <w:t>违反政府采购法</w:t>
      </w:r>
      <w:r>
        <w:rPr>
          <w:rFonts w:hint="eastAsia" w:ascii="Times New Roman" w:hAnsi="Times New Roman" w:cs="Times New Roman"/>
          <w:color w:val="auto"/>
          <w:sz w:val="32"/>
          <w:szCs w:val="32"/>
          <w:u w:val="none"/>
          <w:lang w:val="en-US" w:eastAsia="zh-CN"/>
        </w:rPr>
        <w:t>:有下列情形之一的，责令限期改正，给予警告，可以并处罚款，对直接负责的主管人员和其他直接责任人员，由其行政主管部门或者有关机关给予处分，并予通报：一是应采用公开招标方式而擅自采用其他方式采购的；二是擅自提高采购标准的；三是以不合理的条件对供应商实行差别待遇或者歧视待遇的；四是在招标采购过程中与投标人进行协商谈判的；五是中标、成交通知书发出后不与中标、成交供应商签订采购合同的；六是拒绝有关部门依法实施监督检查的。有下列情形之一，构成犯罪的，依法追究刑事责任；尚不构成犯罪的，处以罚款，有违法所得的，并处没收违法所得，由其行政主管部门或者有关机关给予处分：一是与供应商或者采购代理机构恶意串通的；二是在采购过程中接受贿赂或者获取其他不正当利益的；三是在有关部门依法实施的监督检查中提供虚假情况的；四是开标前泄露标底的。（依据：《中华人民共和国政府采购法》第七十一、七十二条）</w:t>
      </w:r>
    </w:p>
    <w:bookmarkEnd w:id="287"/>
    <w:p>
      <w:pPr>
        <w:pStyle w:val="12"/>
        <w:pageBreakBefore w:val="0"/>
        <w:widowControl w:val="0"/>
        <w:kinsoku/>
        <w:wordWrap/>
        <w:overflowPunct/>
        <w:topLinePunct w:val="0"/>
        <w:autoSpaceDE/>
        <w:autoSpaceDN/>
        <w:bidi w:val="0"/>
        <w:adjustRightInd/>
        <w:spacing w:line="560" w:lineRule="exact"/>
        <w:jc w:val="both"/>
        <w:textAlignment w:val="auto"/>
        <w:rPr>
          <w:rFonts w:hint="default" w:eastAsia="仿宋_GB2312"/>
          <w:color w:val="auto"/>
          <w:sz w:val="32"/>
          <w:szCs w:val="32"/>
          <w:u w:val="none"/>
          <w:lang w:val="en-US" w:eastAsia="zh-CN"/>
        </w:rPr>
      </w:pPr>
    </w:p>
    <w:p>
      <w:pPr>
        <w:pStyle w:val="5"/>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cs="Times New Roman"/>
          <w:color w:val="auto"/>
          <w:sz w:val="32"/>
          <w:szCs w:val="32"/>
          <w:u w:val="none"/>
        </w:rPr>
        <w:sectPr>
          <w:pgSz w:w="11906" w:h="16838"/>
          <w:pgMar w:top="1440" w:right="1800" w:bottom="1440" w:left="1800" w:header="851" w:footer="992" w:gutter="0"/>
          <w:pgNumType w:fmt="decimal"/>
          <w:cols w:space="425" w:num="1"/>
          <w:docGrid w:type="lines" w:linePitch="312" w:charSpace="0"/>
        </w:sectPr>
      </w:pPr>
      <w:bookmarkStart w:id="288" w:name="_Toc1754762336"/>
      <w:bookmarkStart w:id="289" w:name="_Toc1041988763"/>
      <w:bookmarkStart w:id="290" w:name="_Toc70848714"/>
      <w:bookmarkStart w:id="291" w:name="_Toc1998306960"/>
    </w:p>
    <w:p>
      <w:pPr>
        <w:pStyle w:val="5"/>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sz w:val="32"/>
          <w:szCs w:val="32"/>
          <w:u w:val="none"/>
          <w:lang w:val="en-US" w:eastAsia="zh-CN"/>
        </w:rPr>
      </w:pPr>
      <w:bookmarkStart w:id="292" w:name="_Toc24741"/>
      <w:bookmarkStart w:id="293" w:name="_Toc769470931"/>
      <w:r>
        <w:rPr>
          <w:rFonts w:hint="default" w:ascii="Times New Roman" w:hAnsi="Times New Roman" w:cs="Times New Roman"/>
          <w:color w:val="auto"/>
          <w:sz w:val="32"/>
          <w:szCs w:val="32"/>
          <w:u w:val="none"/>
        </w:rPr>
        <w:t>参考</w:t>
      </w:r>
      <w:bookmarkEnd w:id="187"/>
      <w:bookmarkEnd w:id="188"/>
      <w:bookmarkEnd w:id="189"/>
      <w:r>
        <w:rPr>
          <w:rFonts w:hint="default" w:ascii="Times New Roman" w:hAnsi="Times New Roman" w:cs="Times New Roman"/>
          <w:color w:val="auto"/>
          <w:sz w:val="32"/>
          <w:szCs w:val="32"/>
          <w:u w:val="none"/>
          <w:lang w:eastAsia="zh-CN"/>
        </w:rPr>
        <w:t>文献：</w:t>
      </w:r>
      <w:bookmarkEnd w:id="288"/>
      <w:bookmarkEnd w:id="289"/>
      <w:bookmarkEnd w:id="290"/>
      <w:bookmarkEnd w:id="291"/>
      <w:bookmarkEnd w:id="292"/>
      <w:bookmarkEnd w:id="293"/>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rPr>
        <w:t>《中华人民共和国食品安全法》</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Times New Roman" w:hAnsi="Times New Roman" w:cs="Times New Roman"/>
          <w:color w:val="auto"/>
          <w:sz w:val="32"/>
          <w:szCs w:val="32"/>
          <w:u w:val="none"/>
        </w:rPr>
      </w:pPr>
      <w:r>
        <w:rPr>
          <w:rFonts w:hint="eastAsia" w:ascii="Times New Roman" w:hAnsi="Times New Roman" w:cs="Times New Roman"/>
          <w:color w:val="auto"/>
          <w:sz w:val="32"/>
          <w:szCs w:val="32"/>
          <w:u w:val="none"/>
        </w:rPr>
        <w:t>《</w:t>
      </w:r>
      <w:r>
        <w:rPr>
          <w:rFonts w:hint="default" w:ascii="Times New Roman" w:hAnsi="Times New Roman" w:cs="Times New Roman"/>
          <w:color w:val="auto"/>
          <w:sz w:val="32"/>
          <w:szCs w:val="32"/>
          <w:u w:val="none"/>
        </w:rPr>
        <w:t>中华人民共和国</w:t>
      </w:r>
      <w:r>
        <w:rPr>
          <w:rFonts w:hint="eastAsia" w:ascii="Times New Roman" w:hAnsi="Times New Roman" w:cs="Times New Roman"/>
          <w:color w:val="auto"/>
          <w:sz w:val="32"/>
          <w:szCs w:val="32"/>
          <w:u w:val="none"/>
        </w:rPr>
        <w:t>食品安全法实施条例》</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Times New Roman" w:hAnsi="Times New Roman" w:cs="Times New Roman"/>
          <w:color w:val="auto"/>
          <w:sz w:val="32"/>
          <w:szCs w:val="32"/>
          <w:u w:val="none"/>
        </w:rPr>
      </w:pPr>
      <w:r>
        <w:rPr>
          <w:rFonts w:hint="eastAsia" w:ascii="Times New Roman" w:hAnsi="Times New Roman" w:cs="Times New Roman"/>
          <w:color w:val="auto"/>
          <w:sz w:val="32"/>
          <w:szCs w:val="32"/>
          <w:u w:val="none"/>
        </w:rPr>
        <w:t>《中华人民共和国会计法》</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Times New Roman" w:hAnsi="Times New Roman" w:cs="Times New Roman"/>
          <w:color w:val="auto"/>
          <w:sz w:val="32"/>
          <w:szCs w:val="32"/>
          <w:u w:val="none"/>
        </w:rPr>
      </w:pPr>
      <w:r>
        <w:rPr>
          <w:rFonts w:hint="eastAsia" w:ascii="Times New Roman" w:hAnsi="Times New Roman" w:cs="Times New Roman"/>
          <w:color w:val="auto"/>
          <w:sz w:val="32"/>
          <w:szCs w:val="32"/>
          <w:u w:val="none"/>
        </w:rPr>
        <w:t>《中华人民共和国</w:t>
      </w:r>
      <w:r>
        <w:rPr>
          <w:rFonts w:hint="eastAsia" w:ascii="Times New Roman" w:hAnsi="Times New Roman" w:cs="Times New Roman"/>
          <w:color w:val="auto"/>
          <w:sz w:val="32"/>
          <w:szCs w:val="32"/>
          <w:u w:val="none"/>
          <w:lang w:eastAsia="zh-CN"/>
        </w:rPr>
        <w:t>政府采购</w:t>
      </w:r>
      <w:r>
        <w:rPr>
          <w:rFonts w:hint="eastAsia" w:ascii="Times New Roman" w:hAnsi="Times New Roman" w:cs="Times New Roman"/>
          <w:color w:val="auto"/>
          <w:sz w:val="32"/>
          <w:szCs w:val="32"/>
          <w:u w:val="none"/>
        </w:rPr>
        <w:t>法》</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Times New Roman" w:hAnsi="Times New Roman" w:eastAsia="仿宋_GB2312" w:cs="Times New Roman"/>
          <w:color w:val="auto"/>
          <w:kern w:val="2"/>
          <w:sz w:val="32"/>
          <w:szCs w:val="32"/>
          <w:u w:val="none"/>
          <w:lang w:val="en-US" w:eastAsia="zh-CN" w:bidi="ar-SA"/>
        </w:rPr>
      </w:pPr>
      <w:r>
        <w:rPr>
          <w:rFonts w:hint="eastAsia" w:ascii="Times New Roman" w:hAnsi="Times New Roman" w:eastAsia="仿宋_GB2312" w:cs="Times New Roman"/>
          <w:color w:val="auto"/>
          <w:kern w:val="2"/>
          <w:sz w:val="32"/>
          <w:szCs w:val="32"/>
          <w:u w:val="none"/>
          <w:lang w:val="en-US" w:eastAsia="zh-CN" w:bidi="ar-SA"/>
        </w:rPr>
        <w:fldChar w:fldCharType="begin"/>
      </w:r>
      <w:r>
        <w:rPr>
          <w:rFonts w:hint="eastAsia" w:ascii="Times New Roman" w:hAnsi="Times New Roman" w:eastAsia="仿宋_GB2312" w:cs="Times New Roman"/>
          <w:color w:val="auto"/>
          <w:kern w:val="2"/>
          <w:sz w:val="32"/>
          <w:szCs w:val="32"/>
          <w:u w:val="none"/>
          <w:lang w:val="en-US" w:eastAsia="zh-CN" w:bidi="ar-SA"/>
        </w:rPr>
        <w:instrText xml:space="preserve"> HYPERLINK "https://www.baidu.com/s?sa=re_dqa_generate&amp;wd=%E3%80%8A%E4%B8%AD%E5%8D%8E%E4%BA%BA%E6%B0%91%E5%85%B1%E5%92%8C%E5%9B%BD%E4%BC%9A%E8%AE%A1%E6%B3%95%E3%80%8B&amp;rsv_pq=d7054518006b1526&amp;oq=%E4%BC%AA%E9%80%A0%E3%80%81%E5%8F%98%E9%80%A0%E6%88%96%E8%80%85%E9%9A%90%E5%8C%BF%E3%80%81%E6%95%85%E6%84%8F%E9%94%80%E6%AF%81%E4%BC%9A%E8%AE%A1%E5%87%AD%E8%AF%81%E3%80%81%E4%BC%9A%E8%AE%A1%E8%B4%A6%E7%B0%BF,%E6%88%96%E8%80%85%E7%BC%96%E5%88%B6%E8%99%9A%E5%81%87%E8%B4%A2%E5%8A%A1%E4%BC%9A%E8%AE%A1%E6%8A%A5%E5%91%8A&amp;rsv_t=d77aiE91RXCogxe56qWob1V8narn8f9Ve2pPUS1lju01N+f158BnU15OgjTVKurgCVL5hLwzb8VfWg&amp;tn=02003390_114_hao_pg&amp;ie=utf-8" \t "https://www.baidu.com/undefined" </w:instrText>
      </w:r>
      <w:r>
        <w:rPr>
          <w:rFonts w:hint="eastAsia" w:ascii="Times New Roman" w:hAnsi="Times New Roman" w:eastAsia="仿宋_GB2312" w:cs="Times New Roman"/>
          <w:color w:val="auto"/>
          <w:kern w:val="2"/>
          <w:sz w:val="32"/>
          <w:szCs w:val="32"/>
          <w:u w:val="none"/>
          <w:lang w:val="en-US" w:eastAsia="zh-CN" w:bidi="ar-SA"/>
        </w:rPr>
        <w:fldChar w:fldCharType="separate"/>
      </w:r>
      <w:r>
        <w:rPr>
          <w:rFonts w:hint="eastAsia" w:ascii="Times New Roman" w:hAnsi="Times New Roman" w:eastAsia="仿宋_GB2312" w:cs="Times New Roman"/>
          <w:color w:val="auto"/>
          <w:kern w:val="2"/>
          <w:sz w:val="32"/>
          <w:szCs w:val="32"/>
          <w:u w:val="none"/>
          <w:lang w:val="en-US" w:eastAsia="zh-CN" w:bidi="ar-SA"/>
        </w:rPr>
        <w:t>《中华人民共和国招标投标法》</w:t>
      </w:r>
      <w:r>
        <w:rPr>
          <w:rFonts w:hint="eastAsia" w:ascii="Times New Roman" w:hAnsi="Times New Roman" w:eastAsia="仿宋_GB2312" w:cs="Times New Roman"/>
          <w:color w:val="auto"/>
          <w:kern w:val="2"/>
          <w:sz w:val="32"/>
          <w:szCs w:val="32"/>
          <w:u w:val="none"/>
          <w:lang w:val="en-US" w:eastAsia="zh-CN" w:bidi="ar-SA"/>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Times New Roman" w:hAnsi="Times New Roman" w:cs="Times New Roman"/>
          <w:color w:val="auto"/>
          <w:sz w:val="32"/>
          <w:szCs w:val="32"/>
          <w:u w:val="none"/>
          <w:lang w:val="en-US" w:eastAsia="zh-CN"/>
        </w:rPr>
      </w:pPr>
      <w:r>
        <w:rPr>
          <w:rFonts w:hint="eastAsia" w:ascii="Times New Roman" w:hAnsi="Times New Roman" w:cs="Times New Roman"/>
          <w:color w:val="auto"/>
          <w:sz w:val="32"/>
          <w:szCs w:val="32"/>
          <w:u w:val="none"/>
          <w:lang w:val="en-US" w:eastAsia="zh-CN"/>
        </w:rPr>
        <w:fldChar w:fldCharType="begin"/>
      </w:r>
      <w:r>
        <w:rPr>
          <w:rFonts w:hint="eastAsia" w:ascii="Times New Roman" w:hAnsi="Times New Roman" w:cs="Times New Roman"/>
          <w:color w:val="auto"/>
          <w:sz w:val="32"/>
          <w:szCs w:val="32"/>
          <w:u w:val="none"/>
          <w:lang w:val="en-US" w:eastAsia="zh-CN"/>
        </w:rPr>
        <w:instrText xml:space="preserve"> HYPERLINK "https://www.baidu.com/s?sa=re_dqa_generate&amp;wd=%E3%80%8A%E4%B8%AD%E5%9B%BD%E5%85%B1%E4%BA%A7%E5%85%9A%E7%BA%AA%E5%BE%8B%E5%A4%84%E5%88%86%E6%9D%A1%E4%BE%8B%E3%80%8B&amp;rsv_pq=cfc44ed900feab2c&amp;oq=%E5%9C%A8%E8%B4%A2%E5%8A%A1%E7%AE%A1%E7%90%86%E6%B4%BB%E5%8A%A8%E4%B8%AD%E8%BF%9D%E5%8F%8D%E4%BC%9A%E8%AE%A1%E6%B3%95%E5%BE%8B%E3%80%81%E6%B3%95%E8%A7%84%E7%9A%84,%E8%BF%BD%E7%A9%B6%E4%B8%BB%E8%A6%81%E8%B4%A3%E4%BB%BB%E8%80%85%E5%92%8C%E5%85%B6%E4%BB%96%E7%9B%B4%E6%8E%A5%E8%B4%A3%E4%BB%BB%E4%BA%BA%E5%91%98%E7%9A%84%E8%B4%A3%E4%BB%BB,&amp;rsv_t=42dfO/b+hPW5LN0pKPk48/QScX2vRYPihHhDc7fQLKQWCczyMNRKneWzPIrGqKgB5NWJLY1/BysS2w&amp;tn=02003390_114_hao_pg&amp;ie=utf-8" \t "https://www.baidu.com/undefined" </w:instrText>
      </w:r>
      <w:r>
        <w:rPr>
          <w:rFonts w:hint="eastAsia" w:ascii="Times New Roman" w:hAnsi="Times New Roman" w:cs="Times New Roman"/>
          <w:color w:val="auto"/>
          <w:sz w:val="32"/>
          <w:szCs w:val="32"/>
          <w:u w:val="none"/>
          <w:lang w:val="en-US" w:eastAsia="zh-CN"/>
        </w:rPr>
        <w:fldChar w:fldCharType="separate"/>
      </w:r>
      <w:r>
        <w:rPr>
          <w:rFonts w:hint="eastAsia" w:ascii="Times New Roman" w:hAnsi="Times New Roman" w:cs="Times New Roman"/>
          <w:color w:val="auto"/>
          <w:sz w:val="32"/>
          <w:szCs w:val="32"/>
          <w:u w:val="none"/>
          <w:lang w:val="en-US" w:eastAsia="zh-CN"/>
        </w:rPr>
        <w:t>《中国共产党纪律处分条例》</w:t>
      </w:r>
      <w:r>
        <w:rPr>
          <w:rFonts w:hint="eastAsia" w:ascii="Times New Roman" w:hAnsi="Times New Roman" w:cs="Times New Roman"/>
          <w:color w:val="auto"/>
          <w:sz w:val="32"/>
          <w:szCs w:val="32"/>
          <w:u w:val="none"/>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《设立“小金库”和使用“小金库”款项违法违纪行为政纪处分暂行规定》</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rPr>
        <w:t>《学校食品安全与营养健康管理规定》（中华人民共和国教育部、中华人民共和国国家市场监督管理总局、中华人民共和国国家卫生健康委员会令第45号）</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rPr>
        <w:t>《企业落实食品安全主体责任监督管理规定》（国家市场监督管理总局令第60号）</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Times New Roman" w:hAnsi="Times New Roman" w:cs="Times New Roman"/>
          <w:color w:val="auto"/>
          <w:sz w:val="32"/>
          <w:szCs w:val="32"/>
          <w:u w:val="none"/>
        </w:rPr>
      </w:pPr>
      <w:r>
        <w:rPr>
          <w:rFonts w:hint="eastAsia" w:ascii="Times New Roman" w:hAnsi="Times New Roman" w:cs="Times New Roman"/>
          <w:color w:val="auto"/>
          <w:sz w:val="32"/>
          <w:szCs w:val="32"/>
          <w:u w:val="none"/>
        </w:rPr>
        <w:t>《事业单位财务规则》（中华人民共和国财政部令第108号）</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cs="Times New Roman"/>
          <w:color w:val="auto"/>
          <w:kern w:val="0"/>
          <w:sz w:val="32"/>
          <w:szCs w:val="32"/>
          <w:u w:val="none"/>
        </w:rPr>
      </w:pPr>
      <w:r>
        <w:rPr>
          <w:rFonts w:hint="default" w:ascii="Times New Roman" w:hAnsi="Times New Roman" w:cs="Times New Roman"/>
          <w:color w:val="auto"/>
          <w:kern w:val="0"/>
          <w:sz w:val="32"/>
          <w:szCs w:val="32"/>
          <w:u w:val="none"/>
        </w:rPr>
        <w:t>《餐饮服务食品安全操作规范》（国家市场监督管理总局公告2018年第12号）</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rPr>
        <w:t>《食品安全国家标准 餐饮服务通用卫生规范》（国家标准GB31654-2021）</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kern w:val="0"/>
          <w:sz w:val="32"/>
          <w:szCs w:val="32"/>
          <w:u w:val="none"/>
        </w:rPr>
        <w:t>《市场监管总局</w:t>
      </w:r>
      <w:r>
        <w:rPr>
          <w:rFonts w:hint="default" w:ascii="Times New Roman" w:hAnsi="Times New Roman" w:cs="Times New Roman"/>
          <w:color w:val="auto"/>
          <w:kern w:val="0"/>
          <w:sz w:val="32"/>
          <w:szCs w:val="32"/>
          <w:u w:val="none"/>
          <w:lang w:eastAsia="zh-CN"/>
        </w:rPr>
        <w:t>办公厅</w:t>
      </w:r>
      <w:r>
        <w:rPr>
          <w:rFonts w:hint="default" w:ascii="Times New Roman" w:hAnsi="Times New Roman" w:cs="Times New Roman"/>
          <w:color w:val="auto"/>
          <w:kern w:val="0"/>
          <w:sz w:val="32"/>
          <w:szCs w:val="32"/>
          <w:u w:val="none"/>
          <w:lang w:val="en-US" w:eastAsia="zh-CN"/>
        </w:rPr>
        <w:t xml:space="preserve"> </w:t>
      </w:r>
      <w:r>
        <w:rPr>
          <w:rFonts w:hint="default" w:ascii="Times New Roman" w:hAnsi="Times New Roman" w:cs="Times New Roman"/>
          <w:color w:val="auto"/>
          <w:kern w:val="0"/>
          <w:sz w:val="32"/>
          <w:szCs w:val="32"/>
          <w:u w:val="none"/>
        </w:rPr>
        <w:t>教育部</w:t>
      </w:r>
      <w:r>
        <w:rPr>
          <w:rFonts w:hint="default" w:ascii="Times New Roman" w:hAnsi="Times New Roman" w:cs="Times New Roman"/>
          <w:color w:val="auto"/>
          <w:kern w:val="0"/>
          <w:sz w:val="32"/>
          <w:szCs w:val="32"/>
          <w:u w:val="none"/>
          <w:lang w:eastAsia="zh-CN"/>
        </w:rPr>
        <w:t>办公厅</w:t>
      </w:r>
      <w:r>
        <w:rPr>
          <w:rFonts w:hint="default" w:ascii="Times New Roman" w:hAnsi="Times New Roman" w:cs="Times New Roman"/>
          <w:color w:val="auto"/>
          <w:kern w:val="0"/>
          <w:sz w:val="32"/>
          <w:szCs w:val="32"/>
          <w:u w:val="none"/>
          <w:lang w:val="en-US" w:eastAsia="zh-CN"/>
        </w:rPr>
        <w:t xml:space="preserve"> </w:t>
      </w:r>
      <w:r>
        <w:rPr>
          <w:rFonts w:hint="default" w:ascii="Times New Roman" w:hAnsi="Times New Roman" w:cs="Times New Roman"/>
          <w:color w:val="auto"/>
          <w:kern w:val="0"/>
          <w:sz w:val="32"/>
          <w:szCs w:val="32"/>
          <w:u w:val="none"/>
        </w:rPr>
        <w:t>国家卫生健康委</w:t>
      </w:r>
      <w:r>
        <w:rPr>
          <w:rFonts w:hint="default" w:ascii="Times New Roman" w:hAnsi="Times New Roman" w:cs="Times New Roman"/>
          <w:color w:val="auto"/>
          <w:kern w:val="0"/>
          <w:sz w:val="32"/>
          <w:szCs w:val="32"/>
          <w:u w:val="none"/>
          <w:lang w:eastAsia="zh-CN"/>
        </w:rPr>
        <w:t>办公厅</w:t>
      </w:r>
      <w:r>
        <w:rPr>
          <w:rFonts w:hint="default" w:ascii="Times New Roman" w:hAnsi="Times New Roman" w:cs="Times New Roman"/>
          <w:color w:val="auto"/>
          <w:kern w:val="0"/>
          <w:sz w:val="32"/>
          <w:szCs w:val="32"/>
          <w:u w:val="none"/>
          <w:lang w:val="en-US" w:eastAsia="zh-CN"/>
        </w:rPr>
        <w:t xml:space="preserve"> </w:t>
      </w:r>
      <w:r>
        <w:rPr>
          <w:rFonts w:hint="default" w:ascii="Times New Roman" w:hAnsi="Times New Roman" w:cs="Times New Roman"/>
          <w:color w:val="auto"/>
          <w:kern w:val="0"/>
          <w:sz w:val="32"/>
          <w:szCs w:val="32"/>
          <w:u w:val="none"/>
        </w:rPr>
        <w:t>公安部</w:t>
      </w:r>
      <w:r>
        <w:rPr>
          <w:rFonts w:hint="default" w:ascii="Times New Roman" w:hAnsi="Times New Roman" w:cs="Times New Roman"/>
          <w:color w:val="auto"/>
          <w:kern w:val="0"/>
          <w:sz w:val="32"/>
          <w:szCs w:val="32"/>
          <w:u w:val="none"/>
          <w:lang w:eastAsia="zh-CN"/>
        </w:rPr>
        <w:t>办公厅</w:t>
      </w:r>
      <w:r>
        <w:rPr>
          <w:rFonts w:hint="default" w:ascii="Times New Roman" w:hAnsi="Times New Roman" w:cs="Times New Roman"/>
          <w:color w:val="auto"/>
          <w:kern w:val="0"/>
          <w:sz w:val="32"/>
          <w:szCs w:val="32"/>
          <w:u w:val="none"/>
        </w:rPr>
        <w:t>关于落实主体责任强化校园食品安全管理的指导意见》（市监食经〔2019〕68号）</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cs="Times New Roman"/>
          <w:color w:val="auto"/>
          <w:sz w:val="32"/>
          <w:szCs w:val="32"/>
          <w:u w:val="none"/>
        </w:rPr>
      </w:pPr>
      <w:r>
        <w:rPr>
          <w:rFonts w:hint="default" w:ascii="Times New Roman" w:hAnsi="Times New Roman" w:cs="Times New Roman"/>
          <w:color w:val="auto"/>
          <w:sz w:val="32"/>
          <w:szCs w:val="32"/>
          <w:u w:val="none"/>
        </w:rPr>
        <w:t>《教育部办公厅</w:t>
      </w:r>
      <w:r>
        <w:rPr>
          <w:rFonts w:hint="default" w:ascii="Times New Roman" w:hAnsi="Times New Roman" w:cs="Times New Roman"/>
          <w:color w:val="auto"/>
          <w:sz w:val="32"/>
          <w:szCs w:val="32"/>
          <w:u w:val="none"/>
          <w:lang w:val="en-US" w:eastAsia="zh-CN"/>
        </w:rPr>
        <w:t xml:space="preserve"> </w:t>
      </w:r>
      <w:r>
        <w:rPr>
          <w:rFonts w:hint="default" w:ascii="Times New Roman" w:hAnsi="Times New Roman" w:cs="Times New Roman"/>
          <w:color w:val="auto"/>
          <w:sz w:val="32"/>
          <w:szCs w:val="32"/>
          <w:u w:val="none"/>
        </w:rPr>
        <w:t>市场监管总局办公厅</w:t>
      </w:r>
      <w:r>
        <w:rPr>
          <w:rFonts w:hint="default" w:ascii="Times New Roman" w:hAnsi="Times New Roman" w:cs="Times New Roman"/>
          <w:color w:val="auto"/>
          <w:sz w:val="32"/>
          <w:szCs w:val="32"/>
          <w:u w:val="none"/>
          <w:lang w:val="en-US" w:eastAsia="zh-CN"/>
        </w:rPr>
        <w:t xml:space="preserve"> </w:t>
      </w:r>
      <w:r>
        <w:rPr>
          <w:rFonts w:hint="default" w:ascii="Times New Roman" w:hAnsi="Times New Roman" w:cs="Times New Roman"/>
          <w:color w:val="auto"/>
          <w:sz w:val="32"/>
          <w:szCs w:val="32"/>
          <w:u w:val="none"/>
        </w:rPr>
        <w:t>国家卫生健康委办公厅关于加强学校食堂卫生安全与营养健康管理工作的通知》（教体艺厅函〔2021〕38号）</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color w:val="auto"/>
          <w:sz w:val="32"/>
          <w:szCs w:val="32"/>
          <w:u w:val="none"/>
          <w:lang w:val="en-US" w:eastAsia="zh-CN"/>
        </w:rPr>
      </w:pPr>
      <w:r>
        <w:rPr>
          <w:rFonts w:hint="default" w:ascii="Times New Roman" w:hAnsi="Times New Roman" w:cs="Times New Roman"/>
          <w:color w:val="auto"/>
          <w:sz w:val="32"/>
          <w:szCs w:val="32"/>
          <w:u w:val="none"/>
        </w:rPr>
        <w:t>《教育部办公厅关于加强学校校外供餐管理工作的通知》（教体艺厅函〔2022〕27号）</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cs="Times New Roman"/>
          <w:color w:val="auto"/>
          <w:sz w:val="32"/>
          <w:szCs w:val="32"/>
          <w:u w:val="none"/>
        </w:rPr>
      </w:pPr>
      <w:r>
        <w:rPr>
          <w:rFonts w:hint="eastAsia" w:ascii="Times New Roman" w:hAnsi="Times New Roman" w:cs="Times New Roman"/>
          <w:color w:val="auto"/>
          <w:sz w:val="32"/>
          <w:szCs w:val="32"/>
          <w:u w:val="none"/>
        </w:rPr>
        <w:t>《财政部、</w:t>
      </w:r>
      <w:r>
        <w:rPr>
          <w:rFonts w:hint="default" w:ascii="Times New Roman" w:hAnsi="Times New Roman" w:cs="Times New Roman"/>
          <w:color w:val="auto"/>
          <w:sz w:val="32"/>
          <w:szCs w:val="32"/>
          <w:u w:val="none"/>
        </w:rPr>
        <w:t>教育部关于印发</w:t>
      </w:r>
      <w:r>
        <w:rPr>
          <w:rFonts w:hint="eastAsia" w:ascii="Times New Roman" w:hAnsi="Times New Roman" w:cs="Times New Roman"/>
          <w:color w:val="auto"/>
          <w:sz w:val="32"/>
          <w:szCs w:val="32"/>
          <w:u w:val="none"/>
        </w:rPr>
        <w:t>〈</w:t>
      </w:r>
      <w:r>
        <w:rPr>
          <w:rFonts w:hint="default" w:ascii="Times New Roman" w:hAnsi="Times New Roman" w:cs="Times New Roman"/>
          <w:color w:val="auto"/>
          <w:sz w:val="32"/>
          <w:szCs w:val="32"/>
          <w:u w:val="none"/>
        </w:rPr>
        <w:t>中小学校财务制度</w:t>
      </w:r>
      <w:r>
        <w:rPr>
          <w:rFonts w:hint="eastAsia" w:ascii="Times New Roman" w:hAnsi="Times New Roman" w:cs="Times New Roman"/>
          <w:color w:val="auto"/>
          <w:sz w:val="32"/>
          <w:szCs w:val="32"/>
          <w:u w:val="none"/>
        </w:rPr>
        <w:t>〉</w:t>
      </w:r>
      <w:r>
        <w:rPr>
          <w:rFonts w:hint="default" w:ascii="Times New Roman" w:hAnsi="Times New Roman" w:cs="Times New Roman"/>
          <w:color w:val="auto"/>
          <w:sz w:val="32"/>
          <w:szCs w:val="32"/>
          <w:u w:val="none"/>
        </w:rPr>
        <w:t>的通知</w:t>
      </w:r>
      <w:r>
        <w:rPr>
          <w:rFonts w:hint="eastAsia" w:ascii="Times New Roman" w:hAnsi="Times New Roman" w:cs="Times New Roman"/>
          <w:color w:val="auto"/>
          <w:sz w:val="32"/>
          <w:szCs w:val="32"/>
          <w:u w:val="none"/>
        </w:rPr>
        <w:t>》（财教〔2022〕159号）</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cs="Times New Roman"/>
          <w:color w:val="auto"/>
          <w:sz w:val="32"/>
          <w:szCs w:val="32"/>
          <w:u w:val="none"/>
        </w:rPr>
      </w:pPr>
      <w:r>
        <w:rPr>
          <w:rFonts w:hint="eastAsia" w:ascii="Times New Roman" w:hAnsi="Times New Roman" w:cs="Times New Roman"/>
          <w:color w:val="auto"/>
          <w:sz w:val="32"/>
          <w:szCs w:val="32"/>
          <w:u w:val="none"/>
        </w:rPr>
        <w:t>《教育部等七部门关于印发〈农村义务教育学生营养改善计划实施办法〉的通知》（教财〔2022〕2号）</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cs="Times New Roman"/>
          <w:color w:val="auto"/>
          <w:sz w:val="30"/>
          <w:szCs w:val="30"/>
          <w:u w:val="none"/>
          <w:lang w:val="en-US" w:eastAsia="zh-CN"/>
        </w:rPr>
      </w:pPr>
      <w:r>
        <w:rPr>
          <w:rFonts w:hint="eastAsia" w:ascii="Times New Roman" w:hAnsi="Times New Roman" w:cs="Times New Roman"/>
          <w:color w:val="auto"/>
          <w:sz w:val="32"/>
          <w:szCs w:val="32"/>
          <w:u w:val="none"/>
        </w:rPr>
        <w:t>《教育部等五部门关于印发〈关于进一步加强和规范教育收费管理的意见〉》的通知（教财〔2020〕5号）</w:t>
      </w:r>
    </w:p>
    <w:sectPr>
      <w:footerReference r:id="rId9"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CESI黑体-GB2312">
    <w:altName w:val="方正黑体_GBK"/>
    <w:panose1 w:val="02000500000000000000"/>
    <w:charset w:val="86"/>
    <w:family w:val="auto"/>
    <w:pitch w:val="default"/>
    <w:sig w:usb0="00000000" w:usb1="00000000" w:usb2="00000012" w:usb3="00000000" w:csb0="0004000F" w:csb1="00000000"/>
  </w:font>
  <w:font w:name="方正小标宋_GBK">
    <w:panose1 w:val="03000509000000000000"/>
    <w:charset w:val="86"/>
    <w:family w:val="auto"/>
    <w:pitch w:val="default"/>
    <w:sig w:usb0="00000001" w:usb1="080E0000" w:usb2="00000000" w:usb3="00000000" w:csb0="00040000" w:csb1="00000000"/>
  </w:font>
  <w:font w:name="CESI宋体-GB2312">
    <w:altName w:val="方正书宋_GBK"/>
    <w:panose1 w:val="02000500000000000000"/>
    <w:charset w:val="86"/>
    <w:family w:val="auto"/>
    <w:pitch w:val="default"/>
    <w:sig w:usb0="00000000" w:usb1="00000000" w:usb2="00000010" w:usb3="00000000" w:csb0="0004000F" w:csb1="00000000"/>
  </w:font>
  <w:font w:name="方正黑体_GBK">
    <w:panose1 w:val="03000509000000000000"/>
    <w:charset w:val="86"/>
    <w:family w:val="auto"/>
    <w:pitch w:val="default"/>
    <w:sig w:usb0="00000001" w:usb1="080E0000" w:usb2="00000000" w:usb3="00000000" w:csb0="00040000" w:csb1="00000000"/>
  </w:font>
  <w:font w:name="Times New Roman Regular">
    <w:altName w:val="Times New Roman"/>
    <w:panose1 w:val="02020503050405090304"/>
    <w:charset w:val="00"/>
    <w:family w:val="auto"/>
    <w:pitch w:val="default"/>
    <w:sig w:usb0="00000000" w:usb1="00000000" w:usb2="00000001" w:usb3="00000000" w:csb0="400001BF" w:csb1="DFF70000"/>
  </w:font>
  <w:font w:name="仿宋">
    <w:panose1 w:val="02010609060101010101"/>
    <w:charset w:val="86"/>
    <w:family w:val="auto"/>
    <w:pitch w:val="default"/>
    <w:sig w:usb0="800002BF" w:usb1="38CF7CFA" w:usb2="00000016" w:usb3="00000000" w:csb0="00040001" w:csb1="00000000"/>
  </w:font>
  <w:font w:name="方正书宋_GBK">
    <w:panose1 w:val="03000509000000000000"/>
    <w:charset w:val="86"/>
    <w:family w:val="auto"/>
    <w:pitch w:val="default"/>
    <w:sig w:usb0="00000001" w:usb1="080E0000" w:usb2="00000000" w:usb3="00000000" w:csb0="00040000" w:csb1="00000000"/>
  </w:font>
  <w:font w:name="文泉驿正黑">
    <w:panose1 w:val="02000603000000000000"/>
    <w:charset w:val="86"/>
    <w:family w:val="auto"/>
    <w:pitch w:val="default"/>
    <w:sig w:usb0="900002BF" w:usb1="2BDF7DFB" w:usb2="00000036" w:usb3="00000000" w:csb0="603E000D" w:csb1="D2D70000"/>
  </w:font>
  <w:font w:name="方正宋体S-超大字符集">
    <w:panose1 w:val="02000000000000000000"/>
    <w:charset w:val="86"/>
    <w:family w:val="auto"/>
    <w:pitch w:val="default"/>
    <w:sig w:usb0="00000001" w:usb1="08000000" w:usb2="00000000" w:usb3="00000000" w:csb0="00040000" w:csb1="00000000"/>
  </w:font>
  <w:font w:name="等线 Light">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宋体S-超大字符集(SIP)">
    <w:panose1 w:val="03000509000000000000"/>
    <w:charset w:val="86"/>
    <w:family w:val="auto"/>
    <w:pitch w:val="default"/>
    <w:sig w:usb0="00000003" w:usb1="0A0E0800" w:usb2="00000006" w:usb3="00000000" w:csb0="00040001" w:csb1="00000000"/>
  </w:font>
  <w:font w:name="方正公文小标宋">
    <w:panose1 w:val="02000000000000000000"/>
    <w:charset w:val="86"/>
    <w:family w:val="auto"/>
    <w:pitch w:val="default"/>
    <w:sig w:usb0="00000001" w:usb1="0800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 w:name="方正公文楷体">
    <w:panose1 w:val="02000000000000000000"/>
    <w:charset w:val="86"/>
    <w:family w:val="auto"/>
    <w:pitch w:val="default"/>
    <w:sig w:usb0="00000001" w:usb1="08000000" w:usb2="00000000" w:usb3="00000000" w:csb0="00040000" w:csb1="00000000"/>
  </w:font>
  <w:font w:name="方正细黑一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ascii="CESI宋体-GB2312" w:hAnsi="CESI宋体-GB2312" w:eastAsia="CESI宋体-GB2312" w:cs="CESI宋体-GB2312"/>
                              <w:sz w:val="28"/>
                              <w:szCs w:val="28"/>
                            </w:rPr>
                          </w:pPr>
                          <w:r>
                            <w:rPr>
                              <w:rFonts w:hint="eastAsia" w:ascii="CESI宋体-GB2312" w:hAnsi="CESI宋体-GB2312" w:eastAsia="CESI宋体-GB2312" w:cs="CESI宋体-GB2312"/>
                              <w:sz w:val="28"/>
                              <w:szCs w:val="28"/>
                            </w:rPr>
                            <w:fldChar w:fldCharType="begin"/>
                          </w:r>
                          <w:r>
                            <w:rPr>
                              <w:rFonts w:hint="eastAsia" w:ascii="CESI宋体-GB2312" w:hAnsi="CESI宋体-GB2312" w:eastAsia="CESI宋体-GB2312" w:cs="CESI宋体-GB2312"/>
                              <w:sz w:val="28"/>
                              <w:szCs w:val="28"/>
                            </w:rPr>
                            <w:instrText xml:space="preserve"> PAGE  \* MERGEFORMAT </w:instrText>
                          </w:r>
                          <w:r>
                            <w:rPr>
                              <w:rFonts w:hint="eastAsia" w:ascii="CESI宋体-GB2312" w:hAnsi="CESI宋体-GB2312" w:eastAsia="CESI宋体-GB2312" w:cs="CESI宋体-GB2312"/>
                              <w:sz w:val="28"/>
                              <w:szCs w:val="28"/>
                            </w:rPr>
                            <w:fldChar w:fldCharType="separate"/>
                          </w:r>
                          <w:r>
                            <w:rPr>
                              <w:rFonts w:hint="eastAsia" w:ascii="CESI宋体-GB2312" w:hAnsi="CESI宋体-GB2312" w:eastAsia="CESI宋体-GB2312" w:cs="CESI宋体-GB2312"/>
                              <w:sz w:val="28"/>
                              <w:szCs w:val="28"/>
                            </w:rPr>
                            <w:t>2</w:t>
                          </w:r>
                          <w:r>
                            <w:rPr>
                              <w:rFonts w:hint="eastAsia" w:ascii="CESI宋体-GB2312" w:hAnsi="CESI宋体-GB2312" w:eastAsia="CESI宋体-GB2312" w:cs="CESI宋体-GB2312"/>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zQKKhHAIAACs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0CioRwCAAArBAAADgAAAAAAAAABACAAAAA1AQAAZHJzL2Uyb0RvYy54bWxQSwUG&#10;AAAAAAYABgBZAQAAwwUAAAAA&#10;">
              <v:fill on="f" focussize="0,0"/>
              <v:stroke on="f" weight="0.5pt"/>
              <v:imagedata o:title=""/>
              <o:lock v:ext="edit" aspectratio="f"/>
              <v:textbox inset="0mm,0mm,0mm,0mm" style="mso-fit-shape-to-text:t;">
                <w:txbxContent>
                  <w:p>
                    <w:pPr>
                      <w:pStyle w:val="12"/>
                      <w:rPr>
                        <w:rFonts w:hint="eastAsia" w:ascii="CESI宋体-GB2312" w:hAnsi="CESI宋体-GB2312" w:eastAsia="CESI宋体-GB2312" w:cs="CESI宋体-GB2312"/>
                        <w:sz w:val="28"/>
                        <w:szCs w:val="28"/>
                      </w:rPr>
                    </w:pPr>
                    <w:r>
                      <w:rPr>
                        <w:rFonts w:hint="eastAsia" w:ascii="CESI宋体-GB2312" w:hAnsi="CESI宋体-GB2312" w:eastAsia="CESI宋体-GB2312" w:cs="CESI宋体-GB2312"/>
                        <w:sz w:val="28"/>
                        <w:szCs w:val="28"/>
                      </w:rPr>
                      <w:fldChar w:fldCharType="begin"/>
                    </w:r>
                    <w:r>
                      <w:rPr>
                        <w:rFonts w:hint="eastAsia" w:ascii="CESI宋体-GB2312" w:hAnsi="CESI宋体-GB2312" w:eastAsia="CESI宋体-GB2312" w:cs="CESI宋体-GB2312"/>
                        <w:sz w:val="28"/>
                        <w:szCs w:val="28"/>
                      </w:rPr>
                      <w:instrText xml:space="preserve"> PAGE  \* MERGEFORMAT </w:instrText>
                    </w:r>
                    <w:r>
                      <w:rPr>
                        <w:rFonts w:hint="eastAsia" w:ascii="CESI宋体-GB2312" w:hAnsi="CESI宋体-GB2312" w:eastAsia="CESI宋体-GB2312" w:cs="CESI宋体-GB2312"/>
                        <w:sz w:val="28"/>
                        <w:szCs w:val="28"/>
                      </w:rPr>
                      <w:fldChar w:fldCharType="separate"/>
                    </w:r>
                    <w:r>
                      <w:rPr>
                        <w:rFonts w:hint="eastAsia" w:ascii="CESI宋体-GB2312" w:hAnsi="CESI宋体-GB2312" w:eastAsia="CESI宋体-GB2312" w:cs="CESI宋体-GB2312"/>
                        <w:sz w:val="28"/>
                        <w:szCs w:val="28"/>
                      </w:rPr>
                      <w:t>2</w:t>
                    </w:r>
                    <w:r>
                      <w:rPr>
                        <w:rFonts w:hint="eastAsia" w:ascii="CESI宋体-GB2312" w:hAnsi="CESI宋体-GB2312" w:eastAsia="CESI宋体-GB2312" w:cs="CESI宋体-GB2312"/>
                        <w:sz w:val="28"/>
                        <w:szCs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sz w:val="28"/>
                              <w:szCs w:val="28"/>
                            </w:rPr>
                          </w:pPr>
                          <w:r>
                            <w:rPr>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12"/>
                      <w:rPr>
                        <w:sz w:val="28"/>
                        <w:szCs w:val="28"/>
                      </w:rPr>
                    </w:pPr>
                    <w:r>
                      <w:rPr>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sz w:val="28"/>
                        <w:szCs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sz w:val="28"/>
                              <w:szCs w:val="28"/>
                            </w:rPr>
                          </w:pPr>
                          <w:r>
                            <w:rPr>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31</w:t>
                          </w:r>
                          <w:r>
                            <w:rPr>
                              <w:rFonts w:hint="default" w:ascii="Times New Roman" w:hAnsi="Times New Roman" w:cs="Times New Roman"/>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a/cNOGwIAACkEAAAOAAAAAAAAAAEAIAAAADUBAABkcnMvZTJvRG9jLnhtbFBLBQYA&#10;AAAABgAGAFkBAADCBQAAAAA=&#10;">
              <v:fill on="f" focussize="0,0"/>
              <v:stroke on="f" weight="0.5pt"/>
              <v:imagedata o:title=""/>
              <o:lock v:ext="edit" aspectratio="f"/>
              <v:textbox inset="0mm,0mm,0mm,0mm" style="mso-fit-shape-to-text:t;">
                <w:txbxContent>
                  <w:p>
                    <w:pPr>
                      <w:pStyle w:val="12"/>
                      <w:rPr>
                        <w:sz w:val="28"/>
                        <w:szCs w:val="28"/>
                      </w:rPr>
                    </w:pPr>
                    <w:r>
                      <w:rPr>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31</w:t>
                    </w:r>
                    <w:r>
                      <w:rPr>
                        <w:rFonts w:hint="default" w:ascii="Times New Roman" w:hAnsi="Times New Roman" w:cs="Times New Roman"/>
                        <w:sz w:val="28"/>
                        <w:szCs w:val="28"/>
                      </w:rPr>
                      <w:fldChar w:fldCharType="end"/>
                    </w:r>
                    <w:r>
                      <w:rPr>
                        <w:sz w:val="28"/>
                        <w:szCs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BA8DE5"/>
    <w:multiLevelType w:val="singleLevel"/>
    <w:tmpl w:val="B8BA8DE5"/>
    <w:lvl w:ilvl="0" w:tentative="0">
      <w:start w:val="1"/>
      <w:numFmt w:val="decimal"/>
      <w:lvlText w:val="%1."/>
      <w:lvlJc w:val="left"/>
      <w:pPr>
        <w:tabs>
          <w:tab w:val="left" w:pos="312"/>
        </w:tabs>
      </w:pPr>
      <w:rPr>
        <w:rFonts w:hint="default" w:ascii="Times New Roman" w:hAnsi="Times New Roman" w:cs="Times New Roman"/>
      </w:rPr>
    </w:lvl>
  </w:abstractNum>
  <w:abstractNum w:abstractNumId="1">
    <w:nsid w:val="C9FE8462"/>
    <w:multiLevelType w:val="singleLevel"/>
    <w:tmpl w:val="C9FE8462"/>
    <w:lvl w:ilvl="0" w:tentative="0">
      <w:start w:val="1"/>
      <w:numFmt w:val="decimal"/>
      <w:lvlText w:val="%1."/>
      <w:lvlJc w:val="left"/>
      <w:pPr>
        <w:tabs>
          <w:tab w:val="left" w:pos="312"/>
        </w:tabs>
      </w:pPr>
      <w:rPr>
        <w:rFonts w:hint="default" w:ascii="Times New Roman" w:hAnsi="Times New Roman" w:cs="Times New Roman"/>
      </w:rPr>
    </w:lvl>
  </w:abstractNum>
  <w:abstractNum w:abstractNumId="2">
    <w:nsid w:val="D6E72F1B"/>
    <w:multiLevelType w:val="singleLevel"/>
    <w:tmpl w:val="D6E72F1B"/>
    <w:lvl w:ilvl="0" w:tentative="0">
      <w:start w:val="1"/>
      <w:numFmt w:val="decimal"/>
      <w:lvlText w:val="%1."/>
      <w:lvlJc w:val="left"/>
      <w:pPr>
        <w:tabs>
          <w:tab w:val="left" w:pos="312"/>
        </w:tabs>
      </w:pPr>
      <w:rPr>
        <w:rFonts w:hint="default" w:ascii="Times New Roman" w:hAnsi="Times New Roman" w:cs="Times New Roman"/>
      </w:rPr>
    </w:lvl>
  </w:abstractNum>
  <w:abstractNum w:abstractNumId="3">
    <w:nsid w:val="D7ABE4A1"/>
    <w:multiLevelType w:val="singleLevel"/>
    <w:tmpl w:val="D7ABE4A1"/>
    <w:lvl w:ilvl="0" w:tentative="0">
      <w:start w:val="1"/>
      <w:numFmt w:val="chineseCounting"/>
      <w:suff w:val="nothing"/>
      <w:lvlText w:val="（%1）"/>
      <w:lvlJc w:val="left"/>
      <w:rPr>
        <w:rFonts w:hint="eastAsia"/>
      </w:rPr>
    </w:lvl>
  </w:abstractNum>
  <w:abstractNum w:abstractNumId="4">
    <w:nsid w:val="DAACEC3F"/>
    <w:multiLevelType w:val="singleLevel"/>
    <w:tmpl w:val="DAACEC3F"/>
    <w:lvl w:ilvl="0" w:tentative="0">
      <w:start w:val="1"/>
      <w:numFmt w:val="decimal"/>
      <w:lvlText w:val="%1."/>
      <w:lvlJc w:val="left"/>
      <w:pPr>
        <w:tabs>
          <w:tab w:val="left" w:pos="312"/>
        </w:tabs>
      </w:pPr>
      <w:rPr>
        <w:rFonts w:hint="default" w:ascii="Times New Roman" w:hAnsi="Times New Roman" w:cs="Times New Roman"/>
      </w:rPr>
    </w:lvl>
  </w:abstractNum>
  <w:abstractNum w:abstractNumId="5">
    <w:nsid w:val="DDFD9F7D"/>
    <w:multiLevelType w:val="singleLevel"/>
    <w:tmpl w:val="DDFD9F7D"/>
    <w:lvl w:ilvl="0" w:tentative="0">
      <w:start w:val="1"/>
      <w:numFmt w:val="decimal"/>
      <w:lvlText w:val="%1."/>
      <w:lvlJc w:val="left"/>
      <w:pPr>
        <w:tabs>
          <w:tab w:val="left" w:pos="312"/>
        </w:tabs>
      </w:pPr>
      <w:rPr>
        <w:rFonts w:hint="default" w:ascii="Times New Roman" w:hAnsi="Times New Roman" w:cs="Times New Roman"/>
      </w:rPr>
    </w:lvl>
  </w:abstractNum>
  <w:abstractNum w:abstractNumId="6">
    <w:nsid w:val="DFFF1B97"/>
    <w:multiLevelType w:val="singleLevel"/>
    <w:tmpl w:val="DFFF1B97"/>
    <w:lvl w:ilvl="0" w:tentative="0">
      <w:start w:val="1"/>
      <w:numFmt w:val="decimal"/>
      <w:lvlText w:val="%1."/>
      <w:lvlJc w:val="left"/>
      <w:pPr>
        <w:tabs>
          <w:tab w:val="left" w:pos="312"/>
        </w:tabs>
      </w:pPr>
      <w:rPr>
        <w:rFonts w:hint="default" w:ascii="Times New Roman" w:hAnsi="Times New Roman" w:cs="Times New Roman"/>
      </w:rPr>
    </w:lvl>
  </w:abstractNum>
  <w:abstractNum w:abstractNumId="7">
    <w:nsid w:val="E6EE659F"/>
    <w:multiLevelType w:val="singleLevel"/>
    <w:tmpl w:val="E6EE659F"/>
    <w:lvl w:ilvl="0" w:tentative="0">
      <w:start w:val="1"/>
      <w:numFmt w:val="chineseCounting"/>
      <w:suff w:val="nothing"/>
      <w:lvlText w:val="%1、"/>
      <w:lvlJc w:val="left"/>
      <w:rPr>
        <w:rFonts w:hint="eastAsia"/>
      </w:rPr>
    </w:lvl>
  </w:abstractNum>
  <w:abstractNum w:abstractNumId="8">
    <w:nsid w:val="EF7FDED4"/>
    <w:multiLevelType w:val="singleLevel"/>
    <w:tmpl w:val="EF7FDED4"/>
    <w:lvl w:ilvl="0" w:tentative="0">
      <w:start w:val="1"/>
      <w:numFmt w:val="decimal"/>
      <w:lvlText w:val="%1."/>
      <w:lvlJc w:val="left"/>
      <w:pPr>
        <w:tabs>
          <w:tab w:val="left" w:pos="312"/>
        </w:tabs>
      </w:pPr>
      <w:rPr>
        <w:rFonts w:hint="default" w:ascii="Times New Roman" w:hAnsi="Times New Roman" w:cs="Times New Roman"/>
      </w:rPr>
    </w:lvl>
  </w:abstractNum>
  <w:abstractNum w:abstractNumId="9">
    <w:nsid w:val="EFCFE636"/>
    <w:multiLevelType w:val="singleLevel"/>
    <w:tmpl w:val="EFCFE636"/>
    <w:lvl w:ilvl="0" w:tentative="0">
      <w:start w:val="1"/>
      <w:numFmt w:val="chineseCounting"/>
      <w:suff w:val="nothing"/>
      <w:lvlText w:val="（%1）"/>
      <w:lvlJc w:val="left"/>
      <w:rPr>
        <w:rFonts w:hint="eastAsia"/>
      </w:rPr>
    </w:lvl>
  </w:abstractNum>
  <w:abstractNum w:abstractNumId="10">
    <w:nsid w:val="F2F4A4CF"/>
    <w:multiLevelType w:val="singleLevel"/>
    <w:tmpl w:val="F2F4A4CF"/>
    <w:lvl w:ilvl="0" w:tentative="0">
      <w:start w:val="1"/>
      <w:numFmt w:val="decimal"/>
      <w:lvlText w:val="%1."/>
      <w:lvlJc w:val="left"/>
      <w:pPr>
        <w:tabs>
          <w:tab w:val="left" w:pos="312"/>
        </w:tabs>
      </w:pPr>
      <w:rPr>
        <w:rFonts w:hint="default" w:ascii="Times New Roman" w:hAnsi="Times New Roman" w:cs="Times New Roman"/>
      </w:rPr>
    </w:lvl>
  </w:abstractNum>
  <w:abstractNum w:abstractNumId="11">
    <w:nsid w:val="F5BF62F4"/>
    <w:multiLevelType w:val="singleLevel"/>
    <w:tmpl w:val="F5BF62F4"/>
    <w:lvl w:ilvl="0" w:tentative="0">
      <w:start w:val="1"/>
      <w:numFmt w:val="chineseCounting"/>
      <w:suff w:val="nothing"/>
      <w:lvlText w:val="（%1）"/>
      <w:lvlJc w:val="left"/>
      <w:rPr>
        <w:rFonts w:hint="eastAsia"/>
      </w:rPr>
    </w:lvl>
  </w:abstractNum>
  <w:abstractNum w:abstractNumId="12">
    <w:nsid w:val="F9FF7D33"/>
    <w:multiLevelType w:val="singleLevel"/>
    <w:tmpl w:val="F9FF7D33"/>
    <w:lvl w:ilvl="0" w:tentative="0">
      <w:start w:val="1"/>
      <w:numFmt w:val="decimal"/>
      <w:lvlText w:val="%1."/>
      <w:lvlJc w:val="left"/>
      <w:pPr>
        <w:tabs>
          <w:tab w:val="left" w:pos="312"/>
        </w:tabs>
      </w:pPr>
      <w:rPr>
        <w:rFonts w:hint="default" w:ascii="Times New Roman" w:hAnsi="Times New Roman" w:cs="Times New Roman"/>
      </w:rPr>
    </w:lvl>
  </w:abstractNum>
  <w:abstractNum w:abstractNumId="13">
    <w:nsid w:val="FA7A6B6F"/>
    <w:multiLevelType w:val="singleLevel"/>
    <w:tmpl w:val="FA7A6B6F"/>
    <w:lvl w:ilvl="0" w:tentative="0">
      <w:start w:val="1"/>
      <w:numFmt w:val="decimal"/>
      <w:lvlText w:val="%1."/>
      <w:lvlJc w:val="left"/>
      <w:pPr>
        <w:tabs>
          <w:tab w:val="left" w:pos="312"/>
        </w:tabs>
      </w:pPr>
      <w:rPr>
        <w:rFonts w:hint="default" w:ascii="Times New Roman" w:hAnsi="Times New Roman" w:cs="Times New Roman"/>
      </w:rPr>
    </w:lvl>
  </w:abstractNum>
  <w:abstractNum w:abstractNumId="14">
    <w:nsid w:val="FBEB6B02"/>
    <w:multiLevelType w:val="singleLevel"/>
    <w:tmpl w:val="FBEB6B02"/>
    <w:lvl w:ilvl="0" w:tentative="0">
      <w:start w:val="1"/>
      <w:numFmt w:val="decimal"/>
      <w:lvlText w:val="%1."/>
      <w:lvlJc w:val="left"/>
      <w:pPr>
        <w:tabs>
          <w:tab w:val="left" w:pos="312"/>
        </w:tabs>
      </w:pPr>
      <w:rPr>
        <w:rFonts w:hint="default" w:ascii="Times New Roman" w:hAnsi="Times New Roman" w:cs="Times New Roman"/>
      </w:rPr>
    </w:lvl>
  </w:abstractNum>
  <w:abstractNum w:abstractNumId="15">
    <w:nsid w:val="FDDF9FFF"/>
    <w:multiLevelType w:val="singleLevel"/>
    <w:tmpl w:val="FDDF9FFF"/>
    <w:lvl w:ilvl="0" w:tentative="0">
      <w:start w:val="1"/>
      <w:numFmt w:val="decimal"/>
      <w:lvlText w:val="%1."/>
      <w:lvlJc w:val="left"/>
      <w:pPr>
        <w:tabs>
          <w:tab w:val="left" w:pos="312"/>
        </w:tabs>
      </w:pPr>
      <w:rPr>
        <w:rFonts w:hint="default" w:ascii="Times New Roman" w:hAnsi="Times New Roman" w:cs="Times New Roman"/>
      </w:rPr>
    </w:lvl>
  </w:abstractNum>
  <w:abstractNum w:abstractNumId="16">
    <w:nsid w:val="FDEF5D2A"/>
    <w:multiLevelType w:val="singleLevel"/>
    <w:tmpl w:val="FDEF5D2A"/>
    <w:lvl w:ilvl="0" w:tentative="0">
      <w:start w:val="1"/>
      <w:numFmt w:val="decimal"/>
      <w:lvlText w:val="%1."/>
      <w:lvlJc w:val="left"/>
      <w:pPr>
        <w:tabs>
          <w:tab w:val="left" w:pos="312"/>
        </w:tabs>
      </w:pPr>
      <w:rPr>
        <w:rFonts w:hint="default" w:ascii="Times New Roman" w:hAnsi="Times New Roman" w:cs="Times New Roman"/>
      </w:rPr>
    </w:lvl>
  </w:abstractNum>
  <w:abstractNum w:abstractNumId="17">
    <w:nsid w:val="FDFC308A"/>
    <w:multiLevelType w:val="singleLevel"/>
    <w:tmpl w:val="FDFC308A"/>
    <w:lvl w:ilvl="0" w:tentative="0">
      <w:start w:val="1"/>
      <w:numFmt w:val="decimal"/>
      <w:lvlText w:val="%1."/>
      <w:lvlJc w:val="left"/>
      <w:pPr>
        <w:tabs>
          <w:tab w:val="left" w:pos="312"/>
        </w:tabs>
      </w:pPr>
      <w:rPr>
        <w:rFonts w:hint="default" w:ascii="Times New Roman" w:hAnsi="Times New Roman" w:cs="Times New Roman"/>
      </w:rPr>
    </w:lvl>
  </w:abstractNum>
  <w:abstractNum w:abstractNumId="18">
    <w:nsid w:val="FEFA3305"/>
    <w:multiLevelType w:val="singleLevel"/>
    <w:tmpl w:val="FEFA3305"/>
    <w:lvl w:ilvl="0" w:tentative="0">
      <w:start w:val="1"/>
      <w:numFmt w:val="chineseCounting"/>
      <w:suff w:val="nothing"/>
      <w:lvlText w:val="%1、"/>
      <w:lvlJc w:val="left"/>
      <w:rPr>
        <w:rFonts w:hint="eastAsia"/>
      </w:rPr>
    </w:lvl>
  </w:abstractNum>
  <w:abstractNum w:abstractNumId="19">
    <w:nsid w:val="FF5ED7FF"/>
    <w:multiLevelType w:val="singleLevel"/>
    <w:tmpl w:val="FF5ED7FF"/>
    <w:lvl w:ilvl="0" w:tentative="0">
      <w:start w:val="1"/>
      <w:numFmt w:val="chineseCounting"/>
      <w:suff w:val="nothing"/>
      <w:lvlText w:val="%1、"/>
      <w:lvlJc w:val="left"/>
      <w:rPr>
        <w:rFonts w:hint="eastAsia"/>
      </w:rPr>
    </w:lvl>
  </w:abstractNum>
  <w:abstractNum w:abstractNumId="20">
    <w:nsid w:val="FF6E70FE"/>
    <w:multiLevelType w:val="singleLevel"/>
    <w:tmpl w:val="FF6E70FE"/>
    <w:lvl w:ilvl="0" w:tentative="0">
      <w:start w:val="1"/>
      <w:numFmt w:val="decimal"/>
      <w:lvlText w:val="%1."/>
      <w:lvlJc w:val="left"/>
      <w:pPr>
        <w:tabs>
          <w:tab w:val="left" w:pos="312"/>
        </w:tabs>
      </w:pPr>
      <w:rPr>
        <w:rFonts w:hint="default" w:ascii="Times New Roman" w:hAnsi="Times New Roman" w:cs="Times New Roman"/>
      </w:rPr>
    </w:lvl>
  </w:abstractNum>
  <w:abstractNum w:abstractNumId="21">
    <w:nsid w:val="FFAE0098"/>
    <w:multiLevelType w:val="singleLevel"/>
    <w:tmpl w:val="FFAE0098"/>
    <w:lvl w:ilvl="0" w:tentative="0">
      <w:start w:val="1"/>
      <w:numFmt w:val="decimal"/>
      <w:lvlText w:val="%1."/>
      <w:lvlJc w:val="left"/>
      <w:pPr>
        <w:tabs>
          <w:tab w:val="left" w:pos="312"/>
        </w:tabs>
      </w:pPr>
      <w:rPr>
        <w:rFonts w:hint="default" w:ascii="Times New Roman" w:hAnsi="Times New Roman" w:cs="Times New Roman"/>
      </w:rPr>
    </w:lvl>
  </w:abstractNum>
  <w:abstractNum w:abstractNumId="22">
    <w:nsid w:val="FFB4C889"/>
    <w:multiLevelType w:val="singleLevel"/>
    <w:tmpl w:val="FFB4C889"/>
    <w:lvl w:ilvl="0" w:tentative="0">
      <w:start w:val="1"/>
      <w:numFmt w:val="decimal"/>
      <w:lvlText w:val="%1."/>
      <w:lvlJc w:val="left"/>
      <w:pPr>
        <w:tabs>
          <w:tab w:val="left" w:pos="312"/>
        </w:tabs>
      </w:pPr>
      <w:rPr>
        <w:rFonts w:hint="default" w:ascii="Times New Roman" w:hAnsi="Times New Roman" w:cs="Times New Roman"/>
      </w:rPr>
    </w:lvl>
  </w:abstractNum>
  <w:abstractNum w:abstractNumId="23">
    <w:nsid w:val="FFFE569B"/>
    <w:multiLevelType w:val="singleLevel"/>
    <w:tmpl w:val="FFFE569B"/>
    <w:lvl w:ilvl="0" w:tentative="0">
      <w:start w:val="1"/>
      <w:numFmt w:val="decimal"/>
      <w:lvlText w:val="%1."/>
      <w:lvlJc w:val="left"/>
      <w:pPr>
        <w:tabs>
          <w:tab w:val="left" w:pos="312"/>
        </w:tabs>
      </w:pPr>
      <w:rPr>
        <w:rFonts w:hint="default" w:ascii="Times New Roman" w:hAnsi="Times New Roman" w:cs="Times New Roman"/>
      </w:rPr>
    </w:lvl>
  </w:abstractNum>
  <w:abstractNum w:abstractNumId="24">
    <w:nsid w:val="1FEDBEFA"/>
    <w:multiLevelType w:val="singleLevel"/>
    <w:tmpl w:val="1FEDBEFA"/>
    <w:lvl w:ilvl="0" w:tentative="0">
      <w:start w:val="1"/>
      <w:numFmt w:val="decimal"/>
      <w:lvlText w:val="%1."/>
      <w:lvlJc w:val="left"/>
      <w:pPr>
        <w:tabs>
          <w:tab w:val="left" w:pos="312"/>
        </w:tabs>
      </w:pPr>
      <w:rPr>
        <w:rFonts w:hint="default" w:ascii="Times New Roman" w:hAnsi="Times New Roman" w:cs="Times New Roman"/>
      </w:rPr>
    </w:lvl>
  </w:abstractNum>
  <w:abstractNum w:abstractNumId="25">
    <w:nsid w:val="377C08FB"/>
    <w:multiLevelType w:val="singleLevel"/>
    <w:tmpl w:val="377C08FB"/>
    <w:lvl w:ilvl="0" w:tentative="0">
      <w:start w:val="1"/>
      <w:numFmt w:val="chineseCounting"/>
      <w:suff w:val="nothing"/>
      <w:lvlText w:val="（%1）"/>
      <w:lvlJc w:val="left"/>
      <w:rPr>
        <w:rFonts w:hint="eastAsia"/>
      </w:rPr>
    </w:lvl>
  </w:abstractNum>
  <w:abstractNum w:abstractNumId="26">
    <w:nsid w:val="5FF51479"/>
    <w:multiLevelType w:val="singleLevel"/>
    <w:tmpl w:val="5FF51479"/>
    <w:lvl w:ilvl="0" w:tentative="0">
      <w:start w:val="1"/>
      <w:numFmt w:val="decimal"/>
      <w:lvlText w:val="%1."/>
      <w:lvlJc w:val="left"/>
      <w:pPr>
        <w:tabs>
          <w:tab w:val="left" w:pos="312"/>
        </w:tabs>
      </w:pPr>
      <w:rPr>
        <w:rFonts w:hint="default" w:ascii="Times New Roman" w:hAnsi="Times New Roman" w:cs="Times New Roman"/>
      </w:rPr>
    </w:lvl>
  </w:abstractNum>
  <w:abstractNum w:abstractNumId="27">
    <w:nsid w:val="66BE1211"/>
    <w:multiLevelType w:val="singleLevel"/>
    <w:tmpl w:val="66BE1211"/>
    <w:lvl w:ilvl="0" w:tentative="0">
      <w:start w:val="1"/>
      <w:numFmt w:val="decimal"/>
      <w:lvlText w:val="%1."/>
      <w:lvlJc w:val="left"/>
      <w:pPr>
        <w:tabs>
          <w:tab w:val="left" w:pos="312"/>
        </w:tabs>
      </w:pPr>
      <w:rPr>
        <w:rFonts w:hint="default" w:ascii="Times New Roman" w:hAnsi="Times New Roman" w:cs="Times New Roman"/>
      </w:rPr>
    </w:lvl>
  </w:abstractNum>
  <w:abstractNum w:abstractNumId="28">
    <w:nsid w:val="6BF32F7E"/>
    <w:multiLevelType w:val="singleLevel"/>
    <w:tmpl w:val="6BF32F7E"/>
    <w:lvl w:ilvl="0" w:tentative="0">
      <w:start w:val="1"/>
      <w:numFmt w:val="chineseCounting"/>
      <w:suff w:val="nothing"/>
      <w:lvlText w:val="（%1）"/>
      <w:lvlJc w:val="left"/>
      <w:rPr>
        <w:rFonts w:hint="eastAsia"/>
      </w:rPr>
    </w:lvl>
  </w:abstractNum>
  <w:abstractNum w:abstractNumId="29">
    <w:nsid w:val="6D1EFB28"/>
    <w:multiLevelType w:val="singleLevel"/>
    <w:tmpl w:val="6D1EFB28"/>
    <w:lvl w:ilvl="0" w:tentative="0">
      <w:start w:val="1"/>
      <w:numFmt w:val="decimal"/>
      <w:lvlText w:val="%1."/>
      <w:lvlJc w:val="left"/>
      <w:pPr>
        <w:tabs>
          <w:tab w:val="left" w:pos="312"/>
        </w:tabs>
      </w:pPr>
      <w:rPr>
        <w:rFonts w:hint="default" w:ascii="Times New Roman" w:hAnsi="Times New Roman" w:cs="Times New Roman"/>
      </w:rPr>
    </w:lvl>
  </w:abstractNum>
  <w:abstractNum w:abstractNumId="30">
    <w:nsid w:val="757EDCB1"/>
    <w:multiLevelType w:val="singleLevel"/>
    <w:tmpl w:val="757EDCB1"/>
    <w:lvl w:ilvl="0" w:tentative="0">
      <w:start w:val="1"/>
      <w:numFmt w:val="decimal"/>
      <w:lvlText w:val="%1."/>
      <w:lvlJc w:val="left"/>
      <w:pPr>
        <w:tabs>
          <w:tab w:val="left" w:pos="312"/>
        </w:tabs>
      </w:pPr>
      <w:rPr>
        <w:rFonts w:hint="default" w:ascii="Times New Roman" w:hAnsi="Times New Roman" w:cs="Times New Roman"/>
      </w:rPr>
    </w:lvl>
  </w:abstractNum>
  <w:abstractNum w:abstractNumId="31">
    <w:nsid w:val="771D32B0"/>
    <w:multiLevelType w:val="singleLevel"/>
    <w:tmpl w:val="771D32B0"/>
    <w:lvl w:ilvl="0" w:tentative="0">
      <w:start w:val="1"/>
      <w:numFmt w:val="decimal"/>
      <w:lvlText w:val="%1."/>
      <w:lvlJc w:val="left"/>
      <w:pPr>
        <w:tabs>
          <w:tab w:val="left" w:pos="312"/>
        </w:tabs>
      </w:pPr>
      <w:rPr>
        <w:rFonts w:hint="default" w:ascii="Times New Roman" w:hAnsi="Times New Roman" w:cs="Times New Roman"/>
      </w:rPr>
    </w:lvl>
  </w:abstractNum>
  <w:abstractNum w:abstractNumId="32">
    <w:nsid w:val="7A7FED50"/>
    <w:multiLevelType w:val="singleLevel"/>
    <w:tmpl w:val="7A7FED50"/>
    <w:lvl w:ilvl="0" w:tentative="0">
      <w:start w:val="1"/>
      <w:numFmt w:val="decimal"/>
      <w:lvlText w:val="%1."/>
      <w:lvlJc w:val="left"/>
      <w:pPr>
        <w:tabs>
          <w:tab w:val="left" w:pos="312"/>
        </w:tabs>
      </w:pPr>
      <w:rPr>
        <w:rFonts w:hint="default" w:ascii="Times New Roman" w:hAnsi="Times New Roman" w:cs="Times New Roman"/>
      </w:rPr>
    </w:lvl>
  </w:abstractNum>
  <w:abstractNum w:abstractNumId="33">
    <w:nsid w:val="7AFE3371"/>
    <w:multiLevelType w:val="singleLevel"/>
    <w:tmpl w:val="7AFE3371"/>
    <w:lvl w:ilvl="0" w:tentative="0">
      <w:start w:val="1"/>
      <w:numFmt w:val="decimal"/>
      <w:lvlText w:val="%1."/>
      <w:lvlJc w:val="left"/>
      <w:pPr>
        <w:tabs>
          <w:tab w:val="left" w:pos="312"/>
        </w:tabs>
      </w:pPr>
      <w:rPr>
        <w:rFonts w:hint="default" w:ascii="Times New Roman" w:hAnsi="Times New Roman" w:cs="Times New Roman"/>
      </w:rPr>
    </w:lvl>
  </w:abstractNum>
  <w:abstractNum w:abstractNumId="34">
    <w:nsid w:val="7EA6B84B"/>
    <w:multiLevelType w:val="singleLevel"/>
    <w:tmpl w:val="7EA6B84B"/>
    <w:lvl w:ilvl="0" w:tentative="0">
      <w:start w:val="1"/>
      <w:numFmt w:val="decimal"/>
      <w:lvlText w:val="%1."/>
      <w:lvlJc w:val="left"/>
      <w:pPr>
        <w:tabs>
          <w:tab w:val="left" w:pos="312"/>
        </w:tabs>
      </w:pPr>
      <w:rPr>
        <w:rFonts w:hint="default" w:ascii="Times New Roman" w:hAnsi="Times New Roman" w:cs="Times New Roman"/>
      </w:rPr>
    </w:lvl>
  </w:abstractNum>
  <w:abstractNum w:abstractNumId="35">
    <w:nsid w:val="7FC4677C"/>
    <w:multiLevelType w:val="singleLevel"/>
    <w:tmpl w:val="7FC4677C"/>
    <w:lvl w:ilvl="0" w:tentative="0">
      <w:start w:val="1"/>
      <w:numFmt w:val="decimal"/>
      <w:lvlText w:val="%1."/>
      <w:lvlJc w:val="left"/>
      <w:pPr>
        <w:tabs>
          <w:tab w:val="left" w:pos="312"/>
        </w:tabs>
      </w:pPr>
      <w:rPr>
        <w:rFonts w:hint="default" w:ascii="Times New Roman" w:hAnsi="Times New Roman" w:cs="Times New Roman"/>
      </w:rPr>
    </w:lvl>
  </w:abstractNum>
  <w:num w:numId="1">
    <w:abstractNumId w:val="7"/>
  </w:num>
  <w:num w:numId="2">
    <w:abstractNumId w:val="28"/>
  </w:num>
  <w:num w:numId="3">
    <w:abstractNumId w:val="33"/>
  </w:num>
  <w:num w:numId="4">
    <w:abstractNumId w:val="17"/>
  </w:num>
  <w:num w:numId="5">
    <w:abstractNumId w:val="11"/>
  </w:num>
  <w:num w:numId="6">
    <w:abstractNumId w:val="20"/>
  </w:num>
  <w:num w:numId="7">
    <w:abstractNumId w:val="2"/>
  </w:num>
  <w:num w:numId="8">
    <w:abstractNumId w:val="35"/>
  </w:num>
  <w:num w:numId="9">
    <w:abstractNumId w:val="3"/>
  </w:num>
  <w:num w:numId="10">
    <w:abstractNumId w:val="1"/>
  </w:num>
  <w:num w:numId="11">
    <w:abstractNumId w:val="26"/>
  </w:num>
  <w:num w:numId="12">
    <w:abstractNumId w:val="12"/>
  </w:num>
  <w:num w:numId="13">
    <w:abstractNumId w:val="27"/>
  </w:num>
  <w:num w:numId="14">
    <w:abstractNumId w:val="30"/>
  </w:num>
  <w:num w:numId="15">
    <w:abstractNumId w:val="9"/>
  </w:num>
  <w:num w:numId="16">
    <w:abstractNumId w:val="21"/>
  </w:num>
  <w:num w:numId="17">
    <w:abstractNumId w:val="13"/>
  </w:num>
  <w:num w:numId="18">
    <w:abstractNumId w:val="22"/>
  </w:num>
  <w:num w:numId="19">
    <w:abstractNumId w:val="34"/>
  </w:num>
  <w:num w:numId="20">
    <w:abstractNumId w:val="6"/>
  </w:num>
  <w:num w:numId="21">
    <w:abstractNumId w:val="4"/>
  </w:num>
  <w:num w:numId="22">
    <w:abstractNumId w:val="24"/>
  </w:num>
  <w:num w:numId="23">
    <w:abstractNumId w:val="5"/>
  </w:num>
  <w:num w:numId="24">
    <w:abstractNumId w:val="23"/>
  </w:num>
  <w:num w:numId="25">
    <w:abstractNumId w:val="16"/>
  </w:num>
  <w:num w:numId="26">
    <w:abstractNumId w:val="10"/>
  </w:num>
  <w:num w:numId="27">
    <w:abstractNumId w:val="31"/>
  </w:num>
  <w:num w:numId="28">
    <w:abstractNumId w:val="25"/>
  </w:num>
  <w:num w:numId="29">
    <w:abstractNumId w:val="15"/>
  </w:num>
  <w:num w:numId="30">
    <w:abstractNumId w:val="0"/>
  </w:num>
  <w:num w:numId="31">
    <w:abstractNumId w:val="19"/>
  </w:num>
  <w:num w:numId="32">
    <w:abstractNumId w:val="14"/>
  </w:num>
  <w:num w:numId="33">
    <w:abstractNumId w:val="8"/>
  </w:num>
  <w:num w:numId="34">
    <w:abstractNumId w:val="18"/>
  </w:num>
  <w:num w:numId="35">
    <w:abstractNumId w:val="32"/>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E3M2VlNzA1YjZjNDgwYmE1Njc4MTZiNjI1MDQ2OTIifQ=="/>
  </w:docVars>
  <w:rsids>
    <w:rsidRoot w:val="004B0F10"/>
    <w:rsid w:val="00055826"/>
    <w:rsid w:val="00067615"/>
    <w:rsid w:val="000F0F3E"/>
    <w:rsid w:val="00114A9D"/>
    <w:rsid w:val="00124E0D"/>
    <w:rsid w:val="00161646"/>
    <w:rsid w:val="001C1C65"/>
    <w:rsid w:val="0023780A"/>
    <w:rsid w:val="002D222F"/>
    <w:rsid w:val="002D7B4D"/>
    <w:rsid w:val="002F6199"/>
    <w:rsid w:val="003319FA"/>
    <w:rsid w:val="00382EC0"/>
    <w:rsid w:val="003B555C"/>
    <w:rsid w:val="003D37E3"/>
    <w:rsid w:val="00431A11"/>
    <w:rsid w:val="00433475"/>
    <w:rsid w:val="004513DA"/>
    <w:rsid w:val="004652B8"/>
    <w:rsid w:val="004B0F10"/>
    <w:rsid w:val="00503053"/>
    <w:rsid w:val="00512B27"/>
    <w:rsid w:val="005869D8"/>
    <w:rsid w:val="005A0698"/>
    <w:rsid w:val="005A6062"/>
    <w:rsid w:val="005E1546"/>
    <w:rsid w:val="005E408A"/>
    <w:rsid w:val="005F2ED2"/>
    <w:rsid w:val="00612562"/>
    <w:rsid w:val="00634F69"/>
    <w:rsid w:val="00681DBC"/>
    <w:rsid w:val="0069182B"/>
    <w:rsid w:val="006959E0"/>
    <w:rsid w:val="006C01EF"/>
    <w:rsid w:val="006C7CFC"/>
    <w:rsid w:val="007439C2"/>
    <w:rsid w:val="00751169"/>
    <w:rsid w:val="0075394B"/>
    <w:rsid w:val="007969DE"/>
    <w:rsid w:val="007C5EBB"/>
    <w:rsid w:val="008152B9"/>
    <w:rsid w:val="00841140"/>
    <w:rsid w:val="00850745"/>
    <w:rsid w:val="00881931"/>
    <w:rsid w:val="008A76C8"/>
    <w:rsid w:val="009034FA"/>
    <w:rsid w:val="009035E7"/>
    <w:rsid w:val="00920C6C"/>
    <w:rsid w:val="00920ECC"/>
    <w:rsid w:val="009A52D1"/>
    <w:rsid w:val="009A7918"/>
    <w:rsid w:val="009C5C04"/>
    <w:rsid w:val="00A116B1"/>
    <w:rsid w:val="00A40B62"/>
    <w:rsid w:val="00A66E9E"/>
    <w:rsid w:val="00A94F5F"/>
    <w:rsid w:val="00AB3C7C"/>
    <w:rsid w:val="00AC58CC"/>
    <w:rsid w:val="00AE3BB4"/>
    <w:rsid w:val="00AE3EC9"/>
    <w:rsid w:val="00B46D56"/>
    <w:rsid w:val="00BF0E8F"/>
    <w:rsid w:val="00C2737F"/>
    <w:rsid w:val="00C427F9"/>
    <w:rsid w:val="00C85127"/>
    <w:rsid w:val="00C85CC5"/>
    <w:rsid w:val="00D20A0A"/>
    <w:rsid w:val="00D36FB0"/>
    <w:rsid w:val="00D43F03"/>
    <w:rsid w:val="00E8108A"/>
    <w:rsid w:val="00E81365"/>
    <w:rsid w:val="00EE550D"/>
    <w:rsid w:val="00F60103"/>
    <w:rsid w:val="00F71F2E"/>
    <w:rsid w:val="00F85537"/>
    <w:rsid w:val="00FA2773"/>
    <w:rsid w:val="00FA4274"/>
    <w:rsid w:val="00FE2883"/>
    <w:rsid w:val="01056CBD"/>
    <w:rsid w:val="013E10A4"/>
    <w:rsid w:val="014D02BC"/>
    <w:rsid w:val="016BA2D2"/>
    <w:rsid w:val="024263C4"/>
    <w:rsid w:val="02862BDC"/>
    <w:rsid w:val="03A1677D"/>
    <w:rsid w:val="04B55FBF"/>
    <w:rsid w:val="05D204E3"/>
    <w:rsid w:val="07504EC1"/>
    <w:rsid w:val="097F04EC"/>
    <w:rsid w:val="0997E764"/>
    <w:rsid w:val="0C3A54C5"/>
    <w:rsid w:val="0E7A021A"/>
    <w:rsid w:val="0EBA24CA"/>
    <w:rsid w:val="0FDFBC5C"/>
    <w:rsid w:val="12902F9E"/>
    <w:rsid w:val="157E3F95"/>
    <w:rsid w:val="166B21B9"/>
    <w:rsid w:val="177F3740"/>
    <w:rsid w:val="17835341"/>
    <w:rsid w:val="179D5CB8"/>
    <w:rsid w:val="18885E12"/>
    <w:rsid w:val="19FFEF67"/>
    <w:rsid w:val="1AFB1F9F"/>
    <w:rsid w:val="1BBB3515"/>
    <w:rsid w:val="1BFBAA20"/>
    <w:rsid w:val="1CFE2406"/>
    <w:rsid w:val="1DC7EEDF"/>
    <w:rsid w:val="1DFD2F4F"/>
    <w:rsid w:val="1E3F1FEB"/>
    <w:rsid w:val="1E66F74B"/>
    <w:rsid w:val="1EEF0D2E"/>
    <w:rsid w:val="1EFFF430"/>
    <w:rsid w:val="1F151537"/>
    <w:rsid w:val="1F330EF8"/>
    <w:rsid w:val="1F6F2352"/>
    <w:rsid w:val="1F8579B2"/>
    <w:rsid w:val="1FE3662B"/>
    <w:rsid w:val="1FF90418"/>
    <w:rsid w:val="1FFB56BA"/>
    <w:rsid w:val="1FFE8315"/>
    <w:rsid w:val="206F2120"/>
    <w:rsid w:val="2393791F"/>
    <w:rsid w:val="23E3479B"/>
    <w:rsid w:val="240D3F70"/>
    <w:rsid w:val="242534C2"/>
    <w:rsid w:val="249B0D72"/>
    <w:rsid w:val="2557E772"/>
    <w:rsid w:val="26A77A80"/>
    <w:rsid w:val="272F21AE"/>
    <w:rsid w:val="279F42BC"/>
    <w:rsid w:val="27AB229E"/>
    <w:rsid w:val="27B71BBF"/>
    <w:rsid w:val="28D73A28"/>
    <w:rsid w:val="29934D14"/>
    <w:rsid w:val="2AAB4039"/>
    <w:rsid w:val="2B2C6962"/>
    <w:rsid w:val="2B96CDCE"/>
    <w:rsid w:val="2BE315AB"/>
    <w:rsid w:val="2BFF87B7"/>
    <w:rsid w:val="2C4A7380"/>
    <w:rsid w:val="2CC85750"/>
    <w:rsid w:val="2DFD0613"/>
    <w:rsid w:val="2DFF3DCC"/>
    <w:rsid w:val="2EDDFDE3"/>
    <w:rsid w:val="2FDF213F"/>
    <w:rsid w:val="306608CE"/>
    <w:rsid w:val="30AF5CCB"/>
    <w:rsid w:val="30CFB737"/>
    <w:rsid w:val="31F6BFF8"/>
    <w:rsid w:val="322DA3BA"/>
    <w:rsid w:val="32383F68"/>
    <w:rsid w:val="32F7FA18"/>
    <w:rsid w:val="33AB79C6"/>
    <w:rsid w:val="34A94B12"/>
    <w:rsid w:val="34EB3621"/>
    <w:rsid w:val="357F5062"/>
    <w:rsid w:val="3598143B"/>
    <w:rsid w:val="35FF5A4D"/>
    <w:rsid w:val="368D57B7"/>
    <w:rsid w:val="375A259B"/>
    <w:rsid w:val="37B7E964"/>
    <w:rsid w:val="37F9F15E"/>
    <w:rsid w:val="38CFA55C"/>
    <w:rsid w:val="397FCA6F"/>
    <w:rsid w:val="39F27DA1"/>
    <w:rsid w:val="39FF7FE6"/>
    <w:rsid w:val="3AA076A0"/>
    <w:rsid w:val="3B7533FE"/>
    <w:rsid w:val="3BE422B9"/>
    <w:rsid w:val="3BFFECCD"/>
    <w:rsid w:val="3C6919DD"/>
    <w:rsid w:val="3D7B4FAE"/>
    <w:rsid w:val="3D7DE1F6"/>
    <w:rsid w:val="3DE67126"/>
    <w:rsid w:val="3DF98D32"/>
    <w:rsid w:val="3DFBA749"/>
    <w:rsid w:val="3E185BB8"/>
    <w:rsid w:val="3E23544D"/>
    <w:rsid w:val="3EE8A13C"/>
    <w:rsid w:val="3EEBAF1B"/>
    <w:rsid w:val="3EFFF0D7"/>
    <w:rsid w:val="3F4D48E4"/>
    <w:rsid w:val="3F7BF8B8"/>
    <w:rsid w:val="3FAFD2A4"/>
    <w:rsid w:val="3FBDEB4B"/>
    <w:rsid w:val="3FD7F918"/>
    <w:rsid w:val="3FDE514A"/>
    <w:rsid w:val="3FDF5512"/>
    <w:rsid w:val="3FEBF644"/>
    <w:rsid w:val="3FEF9419"/>
    <w:rsid w:val="3FF70233"/>
    <w:rsid w:val="3FF741E0"/>
    <w:rsid w:val="3FF7EFBE"/>
    <w:rsid w:val="3FFEE540"/>
    <w:rsid w:val="3FFF48AD"/>
    <w:rsid w:val="3FFF4A43"/>
    <w:rsid w:val="42B16FDF"/>
    <w:rsid w:val="44DFE61B"/>
    <w:rsid w:val="47020363"/>
    <w:rsid w:val="47460F19"/>
    <w:rsid w:val="475C27F2"/>
    <w:rsid w:val="48214A30"/>
    <w:rsid w:val="48FB432B"/>
    <w:rsid w:val="49519D73"/>
    <w:rsid w:val="4A167332"/>
    <w:rsid w:val="4BEF70F7"/>
    <w:rsid w:val="4CE3061E"/>
    <w:rsid w:val="4DDEF62A"/>
    <w:rsid w:val="4DF42C30"/>
    <w:rsid w:val="4ED913AF"/>
    <w:rsid w:val="4EEBAB87"/>
    <w:rsid w:val="4EF851EF"/>
    <w:rsid w:val="4F2F75AD"/>
    <w:rsid w:val="4FCF2206"/>
    <w:rsid w:val="4FE7E31F"/>
    <w:rsid w:val="4FE9600B"/>
    <w:rsid w:val="4FEC5743"/>
    <w:rsid w:val="4FFD30CF"/>
    <w:rsid w:val="5007685D"/>
    <w:rsid w:val="50AF2B1B"/>
    <w:rsid w:val="51494CE3"/>
    <w:rsid w:val="52232583"/>
    <w:rsid w:val="529F0969"/>
    <w:rsid w:val="52B45C7E"/>
    <w:rsid w:val="53DFAE1E"/>
    <w:rsid w:val="547E7DC7"/>
    <w:rsid w:val="556D53F5"/>
    <w:rsid w:val="55977ACD"/>
    <w:rsid w:val="55BAD6BD"/>
    <w:rsid w:val="55DF0DF6"/>
    <w:rsid w:val="55EF7E06"/>
    <w:rsid w:val="567EFAE4"/>
    <w:rsid w:val="567FEB35"/>
    <w:rsid w:val="5697535B"/>
    <w:rsid w:val="56EFB970"/>
    <w:rsid w:val="56FDFDE8"/>
    <w:rsid w:val="56FF3806"/>
    <w:rsid w:val="57603931"/>
    <w:rsid w:val="57C00C24"/>
    <w:rsid w:val="57E54605"/>
    <w:rsid w:val="5977453A"/>
    <w:rsid w:val="59D67CCB"/>
    <w:rsid w:val="5A022C89"/>
    <w:rsid w:val="5ADE26A9"/>
    <w:rsid w:val="5AFD0D81"/>
    <w:rsid w:val="5B3F0B68"/>
    <w:rsid w:val="5B5A1EF0"/>
    <w:rsid w:val="5B9BBBFA"/>
    <w:rsid w:val="5BE7388D"/>
    <w:rsid w:val="5BFDB63E"/>
    <w:rsid w:val="5CA4B646"/>
    <w:rsid w:val="5CDC760F"/>
    <w:rsid w:val="5D7FECFC"/>
    <w:rsid w:val="5DAB88FF"/>
    <w:rsid w:val="5DEE5DE1"/>
    <w:rsid w:val="5E791127"/>
    <w:rsid w:val="5EBB1E4F"/>
    <w:rsid w:val="5EBC47DF"/>
    <w:rsid w:val="5EBEB5FC"/>
    <w:rsid w:val="5EDCC805"/>
    <w:rsid w:val="5EDFB620"/>
    <w:rsid w:val="5EFD063E"/>
    <w:rsid w:val="5EFE1193"/>
    <w:rsid w:val="5F0A702E"/>
    <w:rsid w:val="5F53CA62"/>
    <w:rsid w:val="5F71081A"/>
    <w:rsid w:val="5F8A664E"/>
    <w:rsid w:val="5F94B3AC"/>
    <w:rsid w:val="5F9E3339"/>
    <w:rsid w:val="5F9FA676"/>
    <w:rsid w:val="5FCF41DC"/>
    <w:rsid w:val="5FD72813"/>
    <w:rsid w:val="5FF02DC4"/>
    <w:rsid w:val="5FFA98D3"/>
    <w:rsid w:val="5FFC7759"/>
    <w:rsid w:val="6077B64C"/>
    <w:rsid w:val="60902412"/>
    <w:rsid w:val="6133DDA2"/>
    <w:rsid w:val="61F64F91"/>
    <w:rsid w:val="62EDD175"/>
    <w:rsid w:val="63E3CE7E"/>
    <w:rsid w:val="63FC44CE"/>
    <w:rsid w:val="641C50CD"/>
    <w:rsid w:val="644F2F03"/>
    <w:rsid w:val="6659266D"/>
    <w:rsid w:val="666630CA"/>
    <w:rsid w:val="66FEFE2E"/>
    <w:rsid w:val="67A45EAE"/>
    <w:rsid w:val="67F327BE"/>
    <w:rsid w:val="67FB54D6"/>
    <w:rsid w:val="68C72FCA"/>
    <w:rsid w:val="69DF2D80"/>
    <w:rsid w:val="69FB5512"/>
    <w:rsid w:val="69FF5093"/>
    <w:rsid w:val="6A005F67"/>
    <w:rsid w:val="6AFF90D9"/>
    <w:rsid w:val="6B7F1621"/>
    <w:rsid w:val="6BFFDA48"/>
    <w:rsid w:val="6D167D8F"/>
    <w:rsid w:val="6DB73890"/>
    <w:rsid w:val="6DE5CA4C"/>
    <w:rsid w:val="6DF654BD"/>
    <w:rsid w:val="6DF77DFB"/>
    <w:rsid w:val="6E4C47B8"/>
    <w:rsid w:val="6E7FAF68"/>
    <w:rsid w:val="6E9C6079"/>
    <w:rsid w:val="6EBBFC0A"/>
    <w:rsid w:val="6EBD0FB3"/>
    <w:rsid w:val="6EFD6004"/>
    <w:rsid w:val="6F2CFDEF"/>
    <w:rsid w:val="6F5526BE"/>
    <w:rsid w:val="6F55B984"/>
    <w:rsid w:val="6F77E738"/>
    <w:rsid w:val="6F7F1E84"/>
    <w:rsid w:val="6F7FAA7A"/>
    <w:rsid w:val="6FD501B7"/>
    <w:rsid w:val="6FE982DD"/>
    <w:rsid w:val="70BBAF84"/>
    <w:rsid w:val="70DEF74C"/>
    <w:rsid w:val="71A462F1"/>
    <w:rsid w:val="72B9447B"/>
    <w:rsid w:val="72BBA55F"/>
    <w:rsid w:val="733F1E1C"/>
    <w:rsid w:val="735F4F8D"/>
    <w:rsid w:val="73E89E48"/>
    <w:rsid w:val="74503CA2"/>
    <w:rsid w:val="74CFC6B5"/>
    <w:rsid w:val="74EFF55F"/>
    <w:rsid w:val="74FEA82C"/>
    <w:rsid w:val="74FF7014"/>
    <w:rsid w:val="755E6818"/>
    <w:rsid w:val="759E6BB4"/>
    <w:rsid w:val="759FB396"/>
    <w:rsid w:val="75DA8ADF"/>
    <w:rsid w:val="75FF3E7E"/>
    <w:rsid w:val="7694408D"/>
    <w:rsid w:val="76BF110E"/>
    <w:rsid w:val="76D00253"/>
    <w:rsid w:val="76F50852"/>
    <w:rsid w:val="76F57DCB"/>
    <w:rsid w:val="7731C0A4"/>
    <w:rsid w:val="773B0B1F"/>
    <w:rsid w:val="775F77A4"/>
    <w:rsid w:val="777FD930"/>
    <w:rsid w:val="779B789D"/>
    <w:rsid w:val="77B1C6C7"/>
    <w:rsid w:val="77BFDC4D"/>
    <w:rsid w:val="77C9A5EE"/>
    <w:rsid w:val="77DF2944"/>
    <w:rsid w:val="77EB6C6D"/>
    <w:rsid w:val="77F7844F"/>
    <w:rsid w:val="77FD59B7"/>
    <w:rsid w:val="77FF23AC"/>
    <w:rsid w:val="780C3661"/>
    <w:rsid w:val="78FCB489"/>
    <w:rsid w:val="79384A6E"/>
    <w:rsid w:val="79BF3063"/>
    <w:rsid w:val="79DF1106"/>
    <w:rsid w:val="79FB8920"/>
    <w:rsid w:val="79FBC325"/>
    <w:rsid w:val="79FED9C0"/>
    <w:rsid w:val="79FF0BCE"/>
    <w:rsid w:val="7AEEA639"/>
    <w:rsid w:val="7B67BFD5"/>
    <w:rsid w:val="7B7C0B4A"/>
    <w:rsid w:val="7B9F6330"/>
    <w:rsid w:val="7BCB49B0"/>
    <w:rsid w:val="7BD644B0"/>
    <w:rsid w:val="7BD770A2"/>
    <w:rsid w:val="7BDFB30C"/>
    <w:rsid w:val="7BF14417"/>
    <w:rsid w:val="7BF38E9F"/>
    <w:rsid w:val="7BF5D7F9"/>
    <w:rsid w:val="7BF79271"/>
    <w:rsid w:val="7BFFC3D4"/>
    <w:rsid w:val="7C4E0EA9"/>
    <w:rsid w:val="7C5DD72F"/>
    <w:rsid w:val="7C9900A6"/>
    <w:rsid w:val="7CAF8370"/>
    <w:rsid w:val="7CF663D6"/>
    <w:rsid w:val="7CFFC085"/>
    <w:rsid w:val="7D1FC175"/>
    <w:rsid w:val="7D224E33"/>
    <w:rsid w:val="7D4BF23B"/>
    <w:rsid w:val="7D5E604C"/>
    <w:rsid w:val="7D6F2083"/>
    <w:rsid w:val="7D9F469D"/>
    <w:rsid w:val="7DBD5644"/>
    <w:rsid w:val="7DBE04AE"/>
    <w:rsid w:val="7DDBC505"/>
    <w:rsid w:val="7DDD714A"/>
    <w:rsid w:val="7DDFE534"/>
    <w:rsid w:val="7DF3D0B5"/>
    <w:rsid w:val="7DF92955"/>
    <w:rsid w:val="7DFCB0DD"/>
    <w:rsid w:val="7DFE6C19"/>
    <w:rsid w:val="7E1B525B"/>
    <w:rsid w:val="7E3B1CD8"/>
    <w:rsid w:val="7E5F4018"/>
    <w:rsid w:val="7E6D0991"/>
    <w:rsid w:val="7E774D21"/>
    <w:rsid w:val="7E7ECA38"/>
    <w:rsid w:val="7EA7E6F3"/>
    <w:rsid w:val="7EAF1D44"/>
    <w:rsid w:val="7EBEB06D"/>
    <w:rsid w:val="7EBF4A2B"/>
    <w:rsid w:val="7ED5DB86"/>
    <w:rsid w:val="7ED778AC"/>
    <w:rsid w:val="7EDF2298"/>
    <w:rsid w:val="7EEA4CB6"/>
    <w:rsid w:val="7EF37A7D"/>
    <w:rsid w:val="7EFF1522"/>
    <w:rsid w:val="7EFF47A6"/>
    <w:rsid w:val="7F3C1070"/>
    <w:rsid w:val="7F4552AE"/>
    <w:rsid w:val="7F55DCD6"/>
    <w:rsid w:val="7F5BADF3"/>
    <w:rsid w:val="7F723EE6"/>
    <w:rsid w:val="7F7A5BE2"/>
    <w:rsid w:val="7F7E3047"/>
    <w:rsid w:val="7F7F3DCF"/>
    <w:rsid w:val="7F7F4FBF"/>
    <w:rsid w:val="7F93E09D"/>
    <w:rsid w:val="7FAD2D55"/>
    <w:rsid w:val="7FB58B1C"/>
    <w:rsid w:val="7FB92636"/>
    <w:rsid w:val="7FBBE8AB"/>
    <w:rsid w:val="7FBFBAAB"/>
    <w:rsid w:val="7FCCB5FF"/>
    <w:rsid w:val="7FCE50A6"/>
    <w:rsid w:val="7FD7546C"/>
    <w:rsid w:val="7FDF1095"/>
    <w:rsid w:val="7FDF2940"/>
    <w:rsid w:val="7FED2CE5"/>
    <w:rsid w:val="7FEE6CCD"/>
    <w:rsid w:val="7FEF13E6"/>
    <w:rsid w:val="7FEF87F3"/>
    <w:rsid w:val="7FF1921D"/>
    <w:rsid w:val="7FF44BC3"/>
    <w:rsid w:val="7FF57863"/>
    <w:rsid w:val="7FF701E5"/>
    <w:rsid w:val="7FF71B12"/>
    <w:rsid w:val="7FFB9ABE"/>
    <w:rsid w:val="7FFBE6BF"/>
    <w:rsid w:val="7FFCD77F"/>
    <w:rsid w:val="7FFE3406"/>
    <w:rsid w:val="7FFF0FBE"/>
    <w:rsid w:val="7FFF150E"/>
    <w:rsid w:val="7FFF29E4"/>
    <w:rsid w:val="7FFF530C"/>
    <w:rsid w:val="7FFFE2DC"/>
    <w:rsid w:val="8E2BE69B"/>
    <w:rsid w:val="8F8FF550"/>
    <w:rsid w:val="97EF2223"/>
    <w:rsid w:val="97F5B532"/>
    <w:rsid w:val="97FE4FDE"/>
    <w:rsid w:val="98FE041B"/>
    <w:rsid w:val="99FF3D30"/>
    <w:rsid w:val="9A656B41"/>
    <w:rsid w:val="9BBF85EB"/>
    <w:rsid w:val="9BF5A00B"/>
    <w:rsid w:val="9BFFCC9E"/>
    <w:rsid w:val="9DED7EF1"/>
    <w:rsid w:val="9E36D6E0"/>
    <w:rsid w:val="9E7EF2FD"/>
    <w:rsid w:val="9ED62938"/>
    <w:rsid w:val="9FCD6D5F"/>
    <w:rsid w:val="9FD21F75"/>
    <w:rsid w:val="9FEAE7E5"/>
    <w:rsid w:val="9FFFCA39"/>
    <w:rsid w:val="A5DFBF73"/>
    <w:rsid w:val="A7BF1664"/>
    <w:rsid w:val="A7FE23C0"/>
    <w:rsid w:val="A92A50D4"/>
    <w:rsid w:val="ABD7CB74"/>
    <w:rsid w:val="ABFFF960"/>
    <w:rsid w:val="AC7E7481"/>
    <w:rsid w:val="ACFDD627"/>
    <w:rsid w:val="ADD72A06"/>
    <w:rsid w:val="AFBF29DF"/>
    <w:rsid w:val="AFFF0C9A"/>
    <w:rsid w:val="B55DD805"/>
    <w:rsid w:val="B5A96C3D"/>
    <w:rsid w:val="B5FD4E89"/>
    <w:rsid w:val="B5FDAF8D"/>
    <w:rsid w:val="B6F7FF6A"/>
    <w:rsid w:val="B74D23E0"/>
    <w:rsid w:val="B7CF6F5D"/>
    <w:rsid w:val="B7D3EE0B"/>
    <w:rsid w:val="B7FD5417"/>
    <w:rsid w:val="BA7B7197"/>
    <w:rsid w:val="BA9EA8AC"/>
    <w:rsid w:val="BACF54A9"/>
    <w:rsid w:val="BBA7F350"/>
    <w:rsid w:val="BBD653BD"/>
    <w:rsid w:val="BBE73C38"/>
    <w:rsid w:val="BCDDF6F4"/>
    <w:rsid w:val="BCFE3B50"/>
    <w:rsid w:val="BCFFB6DD"/>
    <w:rsid w:val="BDFFAB54"/>
    <w:rsid w:val="BEFCE835"/>
    <w:rsid w:val="BEFF3F36"/>
    <w:rsid w:val="BEFF58FE"/>
    <w:rsid w:val="BEFFF409"/>
    <w:rsid w:val="BF09C6DC"/>
    <w:rsid w:val="BF2B2CD2"/>
    <w:rsid w:val="BFB6C7E6"/>
    <w:rsid w:val="BFBF6404"/>
    <w:rsid w:val="BFC52790"/>
    <w:rsid w:val="BFEA04CA"/>
    <w:rsid w:val="BFF314B6"/>
    <w:rsid w:val="BFFD0C00"/>
    <w:rsid w:val="BFFD3383"/>
    <w:rsid w:val="BFFEF226"/>
    <w:rsid w:val="BFFFEA27"/>
    <w:rsid w:val="C3FF3F22"/>
    <w:rsid w:val="C467FB40"/>
    <w:rsid w:val="C6BF60C1"/>
    <w:rsid w:val="C7AED375"/>
    <w:rsid w:val="C7EAD9CF"/>
    <w:rsid w:val="C95AE5A1"/>
    <w:rsid w:val="C9E4A45A"/>
    <w:rsid w:val="CAFF3750"/>
    <w:rsid w:val="CBEF3358"/>
    <w:rsid w:val="CCD6B38E"/>
    <w:rsid w:val="CD9C4FFA"/>
    <w:rsid w:val="CDFBD83A"/>
    <w:rsid w:val="CEEBBBB2"/>
    <w:rsid w:val="CF6D401F"/>
    <w:rsid w:val="CFDB5527"/>
    <w:rsid w:val="CFF5A1CC"/>
    <w:rsid w:val="CFFF7A3D"/>
    <w:rsid w:val="D361A9C5"/>
    <w:rsid w:val="D3AFD3F5"/>
    <w:rsid w:val="D3EE3FA8"/>
    <w:rsid w:val="D5A72A5A"/>
    <w:rsid w:val="D5FF6F55"/>
    <w:rsid w:val="D67F22A9"/>
    <w:rsid w:val="D6FF62F1"/>
    <w:rsid w:val="D73BB7F9"/>
    <w:rsid w:val="D7572728"/>
    <w:rsid w:val="D77EA46D"/>
    <w:rsid w:val="D7BF5931"/>
    <w:rsid w:val="D7DAEE9C"/>
    <w:rsid w:val="D7EF6441"/>
    <w:rsid w:val="D7FD51F1"/>
    <w:rsid w:val="D8F76E36"/>
    <w:rsid w:val="D96F2E2C"/>
    <w:rsid w:val="DA3F8A61"/>
    <w:rsid w:val="DAFFF492"/>
    <w:rsid w:val="DBBF0F51"/>
    <w:rsid w:val="DBC45F08"/>
    <w:rsid w:val="DBF71034"/>
    <w:rsid w:val="DBFD5244"/>
    <w:rsid w:val="DBFDAC0F"/>
    <w:rsid w:val="DBFF269C"/>
    <w:rsid w:val="DC9F445E"/>
    <w:rsid w:val="DCFBAD8A"/>
    <w:rsid w:val="DD09FB0A"/>
    <w:rsid w:val="DDDF333C"/>
    <w:rsid w:val="DDFA9D24"/>
    <w:rsid w:val="DDFB7D57"/>
    <w:rsid w:val="DDFFC0A1"/>
    <w:rsid w:val="DEDBDF81"/>
    <w:rsid w:val="DEDEE8BE"/>
    <w:rsid w:val="DEFA02A3"/>
    <w:rsid w:val="DF39C5EA"/>
    <w:rsid w:val="DF6F7895"/>
    <w:rsid w:val="DF7BEBE8"/>
    <w:rsid w:val="DFB9B15F"/>
    <w:rsid w:val="DFB9C125"/>
    <w:rsid w:val="DFBEDA95"/>
    <w:rsid w:val="DFC7E0CE"/>
    <w:rsid w:val="DFDDFEFA"/>
    <w:rsid w:val="DFDE2370"/>
    <w:rsid w:val="DFDF4B73"/>
    <w:rsid w:val="DFF636EE"/>
    <w:rsid w:val="DFF7E3E0"/>
    <w:rsid w:val="DFF98345"/>
    <w:rsid w:val="DFFB0876"/>
    <w:rsid w:val="DFFB2D16"/>
    <w:rsid w:val="DFFC57DE"/>
    <w:rsid w:val="DFFD8791"/>
    <w:rsid w:val="DFFE2164"/>
    <w:rsid w:val="E3F7D17E"/>
    <w:rsid w:val="E577EBAA"/>
    <w:rsid w:val="E5FAEC07"/>
    <w:rsid w:val="E5FDEF7C"/>
    <w:rsid w:val="E7DF14BF"/>
    <w:rsid w:val="E7EF14F7"/>
    <w:rsid w:val="E7EF333E"/>
    <w:rsid w:val="E7F1F4C0"/>
    <w:rsid w:val="EA733C1A"/>
    <w:rsid w:val="EAFF4D94"/>
    <w:rsid w:val="EAFF923B"/>
    <w:rsid w:val="EB3B5E6F"/>
    <w:rsid w:val="EB8FFE4A"/>
    <w:rsid w:val="EBBFEB99"/>
    <w:rsid w:val="ECFF0C4B"/>
    <w:rsid w:val="ECFFC444"/>
    <w:rsid w:val="ED6F2021"/>
    <w:rsid w:val="ED773AE4"/>
    <w:rsid w:val="EDFA88AB"/>
    <w:rsid w:val="EDFF5476"/>
    <w:rsid w:val="EDFFE57F"/>
    <w:rsid w:val="EED7F66B"/>
    <w:rsid w:val="EEE16614"/>
    <w:rsid w:val="EF33215A"/>
    <w:rsid w:val="EF771BE0"/>
    <w:rsid w:val="EF784996"/>
    <w:rsid w:val="EF7B0E69"/>
    <w:rsid w:val="EF8A08DA"/>
    <w:rsid w:val="EFB42109"/>
    <w:rsid w:val="EFBFA68E"/>
    <w:rsid w:val="EFD6AF55"/>
    <w:rsid w:val="EFDF17DA"/>
    <w:rsid w:val="EFDF91CD"/>
    <w:rsid w:val="EFE15DEF"/>
    <w:rsid w:val="EFE52184"/>
    <w:rsid w:val="EFF962B7"/>
    <w:rsid w:val="EFFB6FD8"/>
    <w:rsid w:val="EFFFC542"/>
    <w:rsid w:val="EFFFE2F9"/>
    <w:rsid w:val="F1667CBD"/>
    <w:rsid w:val="F1CF7641"/>
    <w:rsid w:val="F2F71907"/>
    <w:rsid w:val="F3D3D7DF"/>
    <w:rsid w:val="F3EB3868"/>
    <w:rsid w:val="F4AF3BEF"/>
    <w:rsid w:val="F4DB69D4"/>
    <w:rsid w:val="F4FF0C57"/>
    <w:rsid w:val="F52EC2DF"/>
    <w:rsid w:val="F5C717BB"/>
    <w:rsid w:val="F5F30376"/>
    <w:rsid w:val="F5FDA806"/>
    <w:rsid w:val="F6D76839"/>
    <w:rsid w:val="F6DF9DCC"/>
    <w:rsid w:val="F6FDE7BC"/>
    <w:rsid w:val="F766E251"/>
    <w:rsid w:val="F7930DE5"/>
    <w:rsid w:val="F7BD2BB7"/>
    <w:rsid w:val="F7C35050"/>
    <w:rsid w:val="F7C5C206"/>
    <w:rsid w:val="F7DA5D31"/>
    <w:rsid w:val="F7DE054C"/>
    <w:rsid w:val="F7FF2663"/>
    <w:rsid w:val="F96FE475"/>
    <w:rsid w:val="FA2F281E"/>
    <w:rsid w:val="FA7F6597"/>
    <w:rsid w:val="FAAF26B1"/>
    <w:rsid w:val="FACF661D"/>
    <w:rsid w:val="FADEECBA"/>
    <w:rsid w:val="FAFA4A48"/>
    <w:rsid w:val="FB4F7D02"/>
    <w:rsid w:val="FB5F26E8"/>
    <w:rsid w:val="FB6F1FAA"/>
    <w:rsid w:val="FB8731B5"/>
    <w:rsid w:val="FBB80D03"/>
    <w:rsid w:val="FBBFC57D"/>
    <w:rsid w:val="FBF69583"/>
    <w:rsid w:val="FBFC0889"/>
    <w:rsid w:val="FBFECEEF"/>
    <w:rsid w:val="FBFF15E0"/>
    <w:rsid w:val="FC3E3CF0"/>
    <w:rsid w:val="FCCEDB9B"/>
    <w:rsid w:val="FCDA614B"/>
    <w:rsid w:val="FCF769FE"/>
    <w:rsid w:val="FCFD63F1"/>
    <w:rsid w:val="FDAFDEF2"/>
    <w:rsid w:val="FDD1E7F9"/>
    <w:rsid w:val="FDD6BC96"/>
    <w:rsid w:val="FDDF2BA8"/>
    <w:rsid w:val="FDEEAAAC"/>
    <w:rsid w:val="FDF7A97A"/>
    <w:rsid w:val="FDF96D45"/>
    <w:rsid w:val="FDFD167F"/>
    <w:rsid w:val="FDFF4400"/>
    <w:rsid w:val="FDFF8B87"/>
    <w:rsid w:val="FE5BE298"/>
    <w:rsid w:val="FE6E5451"/>
    <w:rsid w:val="FEAD0E3B"/>
    <w:rsid w:val="FEAFD46A"/>
    <w:rsid w:val="FEBD78F8"/>
    <w:rsid w:val="FEDDBC17"/>
    <w:rsid w:val="FEE64345"/>
    <w:rsid w:val="FEE7A57E"/>
    <w:rsid w:val="FEED3945"/>
    <w:rsid w:val="FEEF38F3"/>
    <w:rsid w:val="FEF3E670"/>
    <w:rsid w:val="FF0B3C99"/>
    <w:rsid w:val="FF1CE732"/>
    <w:rsid w:val="FF274743"/>
    <w:rsid w:val="FF3DB6A1"/>
    <w:rsid w:val="FF5EE62D"/>
    <w:rsid w:val="FF5F2907"/>
    <w:rsid w:val="FF6F3154"/>
    <w:rsid w:val="FF6FCD37"/>
    <w:rsid w:val="FF79684A"/>
    <w:rsid w:val="FF7BCDF3"/>
    <w:rsid w:val="FF7CB9CC"/>
    <w:rsid w:val="FF7CD79A"/>
    <w:rsid w:val="FF7F2E94"/>
    <w:rsid w:val="FF7FC6F7"/>
    <w:rsid w:val="FF9FDCBC"/>
    <w:rsid w:val="FFAF5D3F"/>
    <w:rsid w:val="FFAFFF5A"/>
    <w:rsid w:val="FFB2EDB0"/>
    <w:rsid w:val="FFB97483"/>
    <w:rsid w:val="FFBE6C4A"/>
    <w:rsid w:val="FFCB2649"/>
    <w:rsid w:val="FFCEA2F8"/>
    <w:rsid w:val="FFD76426"/>
    <w:rsid w:val="FFD79ECC"/>
    <w:rsid w:val="FFDB1404"/>
    <w:rsid w:val="FFDFB37A"/>
    <w:rsid w:val="FFDFFFC8"/>
    <w:rsid w:val="FFE3893F"/>
    <w:rsid w:val="FFED1E54"/>
    <w:rsid w:val="FFEFB030"/>
    <w:rsid w:val="FFEFEF6B"/>
    <w:rsid w:val="FFF45E51"/>
    <w:rsid w:val="FFF6E98A"/>
    <w:rsid w:val="FFF753D3"/>
    <w:rsid w:val="FFF79C60"/>
    <w:rsid w:val="FFF7FD5B"/>
    <w:rsid w:val="FFFBA52A"/>
    <w:rsid w:val="FFFBFE2E"/>
    <w:rsid w:val="FFFF03D2"/>
    <w:rsid w:val="FFFF1848"/>
    <w:rsid w:val="FFFF44DE"/>
    <w:rsid w:val="FFFFA5FA"/>
    <w:rsid w:val="FFFFB85B"/>
    <w:rsid w:val="FFFFBCBB"/>
    <w:rsid w:val="FFFFE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600" w:lineRule="exact"/>
      <w:ind w:firstLine="200" w:firstLineChars="200"/>
      <w:jc w:val="both"/>
    </w:pPr>
    <w:rPr>
      <w:rFonts w:eastAsia="仿宋_GB2312" w:asciiTheme="minorHAnsi" w:hAnsiTheme="minorHAnsi" w:cstheme="minorBidi"/>
      <w:kern w:val="2"/>
      <w:sz w:val="32"/>
      <w:szCs w:val="21"/>
      <w:lang w:val="en-US" w:eastAsia="zh-CN" w:bidi="ar-SA"/>
    </w:rPr>
  </w:style>
  <w:style w:type="paragraph" w:styleId="4">
    <w:name w:val="heading 1"/>
    <w:basedOn w:val="1"/>
    <w:next w:val="1"/>
    <w:link w:val="23"/>
    <w:qFormat/>
    <w:uiPriority w:val="9"/>
    <w:pPr>
      <w:keepNext/>
      <w:keepLines/>
      <w:spacing w:before="340" w:after="330" w:line="578" w:lineRule="atLeast"/>
      <w:outlineLvl w:val="0"/>
    </w:pPr>
    <w:rPr>
      <w:b/>
      <w:bCs/>
      <w:kern w:val="44"/>
      <w:sz w:val="44"/>
      <w:szCs w:val="44"/>
    </w:rPr>
  </w:style>
  <w:style w:type="paragraph" w:styleId="5">
    <w:name w:val="heading 2"/>
    <w:basedOn w:val="1"/>
    <w:next w:val="1"/>
    <w:link w:val="24"/>
    <w:unhideWhenUsed/>
    <w:qFormat/>
    <w:uiPriority w:val="9"/>
    <w:pPr>
      <w:keepNext/>
      <w:keepLines/>
      <w:ind w:firstLine="0" w:firstLineChars="0"/>
      <w:jc w:val="center"/>
      <w:outlineLvl w:val="1"/>
    </w:pPr>
    <w:rPr>
      <w:rFonts w:eastAsia="黑体" w:asciiTheme="majorHAnsi" w:hAnsiTheme="majorHAnsi" w:cstheme="majorBidi"/>
      <w:bCs/>
      <w:szCs w:val="32"/>
    </w:rPr>
  </w:style>
  <w:style w:type="paragraph" w:styleId="6">
    <w:name w:val="heading 3"/>
    <w:basedOn w:val="1"/>
    <w:next w:val="1"/>
    <w:link w:val="25"/>
    <w:unhideWhenUsed/>
    <w:qFormat/>
    <w:uiPriority w:val="9"/>
    <w:pPr>
      <w:keepNext/>
      <w:keepLines/>
      <w:outlineLvl w:val="2"/>
    </w:pPr>
    <w:rPr>
      <w:rFonts w:eastAsia="楷体_GB2312"/>
      <w:bCs/>
      <w:szCs w:val="3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left="200" w:firstLine="420" w:firstLineChars="200"/>
    </w:pPr>
    <w:rPr>
      <w:rFonts w:cs="Times New Roman"/>
    </w:rPr>
  </w:style>
  <w:style w:type="paragraph" w:styleId="3">
    <w:name w:val="Body Text Indent"/>
    <w:basedOn w:val="1"/>
    <w:qFormat/>
    <w:uiPriority w:val="99"/>
    <w:pPr>
      <w:spacing w:after="120"/>
      <w:ind w:left="420" w:leftChars="200"/>
    </w:pPr>
  </w:style>
  <w:style w:type="paragraph" w:styleId="7">
    <w:name w:val="toc 7"/>
    <w:basedOn w:val="1"/>
    <w:next w:val="1"/>
    <w:unhideWhenUsed/>
    <w:qFormat/>
    <w:uiPriority w:val="39"/>
    <w:pPr>
      <w:spacing w:line="240" w:lineRule="auto"/>
      <w:ind w:left="2520" w:leftChars="1200" w:firstLine="0" w:firstLineChars="0"/>
    </w:pPr>
    <w:rPr>
      <w:rFonts w:eastAsiaTheme="minorEastAsia"/>
      <w:sz w:val="21"/>
      <w:szCs w:val="22"/>
      <w14:ligatures w14:val="standardContextual"/>
    </w:rPr>
  </w:style>
  <w:style w:type="paragraph" w:styleId="8">
    <w:name w:val="annotation text"/>
    <w:basedOn w:val="1"/>
    <w:semiHidden/>
    <w:unhideWhenUsed/>
    <w:qFormat/>
    <w:uiPriority w:val="99"/>
    <w:pPr>
      <w:jc w:val="left"/>
    </w:pPr>
  </w:style>
  <w:style w:type="paragraph" w:styleId="9">
    <w:name w:val="toc 5"/>
    <w:basedOn w:val="1"/>
    <w:next w:val="1"/>
    <w:unhideWhenUsed/>
    <w:qFormat/>
    <w:uiPriority w:val="39"/>
    <w:pPr>
      <w:spacing w:line="240" w:lineRule="auto"/>
      <w:ind w:left="1680" w:leftChars="800" w:firstLine="0" w:firstLineChars="0"/>
    </w:pPr>
    <w:rPr>
      <w:rFonts w:eastAsiaTheme="minorEastAsia"/>
      <w:sz w:val="21"/>
      <w:szCs w:val="22"/>
      <w14:ligatures w14:val="standardContextual"/>
    </w:rPr>
  </w:style>
  <w:style w:type="paragraph" w:styleId="10">
    <w:name w:val="toc 3"/>
    <w:basedOn w:val="1"/>
    <w:next w:val="1"/>
    <w:unhideWhenUsed/>
    <w:qFormat/>
    <w:uiPriority w:val="39"/>
    <w:pPr>
      <w:tabs>
        <w:tab w:val="right" w:leader="dot" w:pos="8306"/>
      </w:tabs>
      <w:ind w:firstLine="1280" w:firstLineChars="400"/>
    </w:pPr>
    <w:rPr>
      <w:rFonts w:ascii="仿宋_GB2312" w:hAnsi="仿宋_GB2312" w:cs="仿宋_GB2312"/>
      <w:szCs w:val="28"/>
    </w:rPr>
  </w:style>
  <w:style w:type="paragraph" w:styleId="11">
    <w:name w:val="toc 8"/>
    <w:basedOn w:val="1"/>
    <w:next w:val="1"/>
    <w:unhideWhenUsed/>
    <w:qFormat/>
    <w:uiPriority w:val="39"/>
    <w:pPr>
      <w:spacing w:line="240" w:lineRule="auto"/>
      <w:ind w:left="2940" w:leftChars="1400" w:firstLine="0" w:firstLineChars="0"/>
    </w:pPr>
    <w:rPr>
      <w:rFonts w:eastAsiaTheme="minorEastAsia"/>
      <w:sz w:val="21"/>
      <w:szCs w:val="22"/>
      <w14:ligatures w14:val="standardContextual"/>
    </w:rPr>
  </w:style>
  <w:style w:type="paragraph" w:styleId="12">
    <w:name w:val="footer"/>
    <w:basedOn w:val="1"/>
    <w:link w:val="26"/>
    <w:unhideWhenUsed/>
    <w:qFormat/>
    <w:uiPriority w:val="99"/>
    <w:pPr>
      <w:tabs>
        <w:tab w:val="center" w:pos="4153"/>
        <w:tab w:val="right" w:pos="8306"/>
      </w:tabs>
      <w:snapToGrid w:val="0"/>
      <w:jc w:val="left"/>
    </w:pPr>
    <w:rPr>
      <w:sz w:val="18"/>
      <w:szCs w:val="18"/>
    </w:rPr>
  </w:style>
  <w:style w:type="paragraph" w:styleId="13">
    <w:name w:val="header"/>
    <w:basedOn w:val="1"/>
    <w:link w:val="27"/>
    <w:unhideWhenUsed/>
    <w:qFormat/>
    <w:uiPriority w:val="99"/>
    <w:pP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306"/>
      </w:tabs>
      <w:spacing w:line="240" w:lineRule="auto"/>
      <w:ind w:firstLine="0" w:firstLineChars="0"/>
    </w:pPr>
    <w:rPr>
      <w:rFonts w:ascii="仿宋_GB2312" w:hAnsi="仿宋_GB2312" w:cs="仿宋_GB2312"/>
      <w:szCs w:val="32"/>
      <w14:ligatures w14:val="standardContextual"/>
    </w:rPr>
  </w:style>
  <w:style w:type="paragraph" w:styleId="15">
    <w:name w:val="toc 4"/>
    <w:basedOn w:val="1"/>
    <w:next w:val="1"/>
    <w:unhideWhenUsed/>
    <w:qFormat/>
    <w:uiPriority w:val="39"/>
    <w:pPr>
      <w:spacing w:line="240" w:lineRule="auto"/>
      <w:ind w:left="1260" w:leftChars="600" w:firstLine="0" w:firstLineChars="0"/>
    </w:pPr>
    <w:rPr>
      <w:rFonts w:eastAsiaTheme="minorEastAsia"/>
      <w:sz w:val="21"/>
      <w:szCs w:val="22"/>
      <w14:ligatures w14:val="standardContextual"/>
    </w:rPr>
  </w:style>
  <w:style w:type="paragraph" w:styleId="16">
    <w:name w:val="toc 6"/>
    <w:basedOn w:val="1"/>
    <w:next w:val="1"/>
    <w:unhideWhenUsed/>
    <w:qFormat/>
    <w:uiPriority w:val="39"/>
    <w:pPr>
      <w:spacing w:line="240" w:lineRule="auto"/>
      <w:ind w:left="2100" w:leftChars="1000" w:firstLine="0" w:firstLineChars="0"/>
    </w:pPr>
    <w:rPr>
      <w:rFonts w:eastAsiaTheme="minorEastAsia"/>
      <w:sz w:val="21"/>
      <w:szCs w:val="22"/>
      <w14:ligatures w14:val="standardContextual"/>
    </w:rPr>
  </w:style>
  <w:style w:type="paragraph" w:styleId="17">
    <w:name w:val="toc 2"/>
    <w:basedOn w:val="1"/>
    <w:next w:val="1"/>
    <w:unhideWhenUsed/>
    <w:qFormat/>
    <w:uiPriority w:val="39"/>
    <w:pPr>
      <w:tabs>
        <w:tab w:val="right" w:leader="dot" w:pos="8306"/>
      </w:tabs>
      <w:spacing w:line="480" w:lineRule="exact"/>
      <w:ind w:firstLine="640"/>
    </w:pPr>
    <w:rPr>
      <w:rFonts w:ascii="仿宋_GB2312" w:hAnsi="仿宋_GB2312" w:cs="仿宋_GB2312"/>
      <w:bCs/>
      <w:szCs w:val="28"/>
    </w:rPr>
  </w:style>
  <w:style w:type="paragraph" w:styleId="18">
    <w:name w:val="toc 9"/>
    <w:basedOn w:val="1"/>
    <w:next w:val="1"/>
    <w:unhideWhenUsed/>
    <w:qFormat/>
    <w:uiPriority w:val="39"/>
    <w:pPr>
      <w:spacing w:line="240" w:lineRule="auto"/>
      <w:ind w:left="3360" w:leftChars="1600" w:firstLine="0" w:firstLineChars="0"/>
    </w:pPr>
    <w:rPr>
      <w:rFonts w:eastAsiaTheme="minorEastAsia"/>
      <w:sz w:val="21"/>
      <w:szCs w:val="22"/>
      <w14:ligatures w14:val="standardContextual"/>
    </w:rPr>
  </w:style>
  <w:style w:type="paragraph" w:styleId="1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22">
    <w:name w:val="Hyperlink"/>
    <w:unhideWhenUsed/>
    <w:qFormat/>
    <w:uiPriority w:val="99"/>
    <w:rPr>
      <w:rFonts w:eastAsia="仿宋_GB2312"/>
      <w:color w:val="auto"/>
      <w:sz w:val="28"/>
      <w:u w:val="single"/>
    </w:rPr>
  </w:style>
  <w:style w:type="character" w:customStyle="1" w:styleId="23">
    <w:name w:val="标题 1 字符"/>
    <w:basedOn w:val="21"/>
    <w:link w:val="4"/>
    <w:qFormat/>
    <w:uiPriority w:val="9"/>
    <w:rPr>
      <w:rFonts w:eastAsia="仿宋_GB2312"/>
      <w:b/>
      <w:bCs/>
      <w:kern w:val="44"/>
      <w:sz w:val="44"/>
      <w:szCs w:val="44"/>
    </w:rPr>
  </w:style>
  <w:style w:type="character" w:customStyle="1" w:styleId="24">
    <w:name w:val="标题 2 字符"/>
    <w:basedOn w:val="21"/>
    <w:link w:val="5"/>
    <w:qFormat/>
    <w:uiPriority w:val="9"/>
    <w:rPr>
      <w:rFonts w:eastAsia="黑体" w:asciiTheme="majorHAnsi" w:hAnsiTheme="majorHAnsi" w:cstheme="majorBidi"/>
      <w:bCs/>
      <w:sz w:val="32"/>
      <w:szCs w:val="32"/>
    </w:rPr>
  </w:style>
  <w:style w:type="character" w:customStyle="1" w:styleId="25">
    <w:name w:val="标题 3 字符"/>
    <w:basedOn w:val="21"/>
    <w:link w:val="6"/>
    <w:qFormat/>
    <w:uiPriority w:val="9"/>
    <w:rPr>
      <w:rFonts w:eastAsia="楷体_GB2312"/>
      <w:bCs/>
      <w:sz w:val="32"/>
      <w:szCs w:val="32"/>
    </w:rPr>
  </w:style>
  <w:style w:type="character" w:customStyle="1" w:styleId="26">
    <w:name w:val="页脚 字符"/>
    <w:basedOn w:val="21"/>
    <w:link w:val="12"/>
    <w:qFormat/>
    <w:uiPriority w:val="99"/>
    <w:rPr>
      <w:sz w:val="18"/>
      <w:szCs w:val="18"/>
    </w:rPr>
  </w:style>
  <w:style w:type="character" w:customStyle="1" w:styleId="27">
    <w:name w:val="页眉 字符"/>
    <w:basedOn w:val="21"/>
    <w:link w:val="13"/>
    <w:qFormat/>
    <w:uiPriority w:val="99"/>
    <w:rPr>
      <w:sz w:val="18"/>
      <w:szCs w:val="18"/>
    </w:rPr>
  </w:style>
  <w:style w:type="paragraph" w:customStyle="1" w:styleId="28">
    <w:name w:val="TOC 标题1"/>
    <w:basedOn w:val="4"/>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104862" w:themeColor="accent1" w:themeShade="BF"/>
      <w:kern w:val="0"/>
      <w:sz w:val="32"/>
      <w:szCs w:val="32"/>
    </w:rPr>
  </w:style>
  <w:style w:type="character" w:customStyle="1" w:styleId="29">
    <w:name w:val="未处理的提及1"/>
    <w:basedOn w:val="21"/>
    <w:semiHidden/>
    <w:unhideWhenUsed/>
    <w:qFormat/>
    <w:uiPriority w:val="99"/>
    <w:rPr>
      <w:color w:val="605E5C"/>
      <w:shd w:val="clear" w:color="auto" w:fill="E1DFDD"/>
    </w:rPr>
  </w:style>
  <w:style w:type="character" w:customStyle="1" w:styleId="30">
    <w:name w:val="未处理的提及2"/>
    <w:basedOn w:val="21"/>
    <w:semiHidden/>
    <w:unhideWhenUsed/>
    <w:qFormat/>
    <w:uiPriority w:val="99"/>
    <w:rPr>
      <w:color w:val="605E5C"/>
      <w:shd w:val="clear" w:color="auto" w:fill="E1DFDD"/>
    </w:rPr>
  </w:style>
  <w:style w:type="character" w:customStyle="1" w:styleId="31">
    <w:name w:val="Unresolved Mention"/>
    <w:basedOn w:val="21"/>
    <w:semiHidden/>
    <w:unhideWhenUsed/>
    <w:qFormat/>
    <w:uiPriority w:val="99"/>
    <w:rPr>
      <w:color w:val="605E5C"/>
      <w:shd w:val="clear" w:color="auto" w:fill="E1DFDD"/>
    </w:rPr>
  </w:style>
  <w:style w:type="paragraph" w:customStyle="1" w:styleId="32">
    <w:name w:val="WPSOffice手动目录 1"/>
    <w:qFormat/>
    <w:uiPriority w:val="0"/>
    <w:pPr>
      <w:ind w:leftChars="0"/>
    </w:pPr>
    <w:rPr>
      <w:rFonts w:asciiTheme="minorHAnsi" w:hAnsiTheme="minorHAnsi" w:eastAsiaTheme="minorEastAsia" w:cstheme="minorBidi"/>
      <w:sz w:val="20"/>
      <w:szCs w:val="20"/>
    </w:rPr>
  </w:style>
  <w:style w:type="paragraph" w:customStyle="1" w:styleId="33">
    <w:name w:val="WPSOffice手动目录 2"/>
    <w:qFormat/>
    <w:uiPriority w:val="0"/>
    <w:pPr>
      <w:ind w:leftChars="200"/>
    </w:pPr>
    <w:rPr>
      <w:rFonts w:asciiTheme="minorHAnsi" w:hAnsiTheme="minorHAnsi" w:eastAsiaTheme="minorEastAsia" w:cstheme="minorBidi"/>
      <w:sz w:val="20"/>
      <w:szCs w:val="20"/>
    </w:rPr>
  </w:style>
  <w:style w:type="paragraph" w:customStyle="1" w:styleId="34">
    <w:name w:val="WPSOffice手动目录 3"/>
    <w:qFormat/>
    <w:uiPriority w:val="0"/>
    <w:pPr>
      <w:ind w:leftChars="4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16812</Words>
  <Characters>16969</Characters>
  <Lines>440</Lines>
  <Paragraphs>124</Paragraphs>
  <TotalTime>7</TotalTime>
  <ScaleCrop>false</ScaleCrop>
  <LinksUpToDate>false</LinksUpToDate>
  <CharactersWithSpaces>17150</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2024-07-28T00:45:00Z</dcterms:created>
  <dc:creator>启忠 谭</dc:creator>
  <cp:lastModifiedBy>wenyin</cp:lastModifiedBy>
  <cp:lastPrinted>2024-11-08T17:43:00Z</cp:lastPrinted>
  <dcterms:modified xsi:type="dcterms:W3CDTF">2024-11-13T08:35:12Z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502F1C53B353DC505CAF3267B7958E06_43</vt:lpwstr>
  </property>
</Properties>
</file>