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28D7D">
      <w:pPr>
        <w:pStyle w:val="2"/>
        <w:jc w:val="center"/>
      </w:pPr>
      <w:bookmarkStart w:id="0" w:name="_GoBack"/>
      <w:bookmarkEnd w:id="0"/>
      <w:r>
        <w:rPr>
          <w:rFonts w:hint="eastAsia"/>
          <w:lang w:val="en-US" w:eastAsia="zh-CN"/>
        </w:rPr>
        <w:t>信阳高级中学</w:t>
      </w:r>
      <w:r>
        <w:t>招标代理机构遴选综合评分表</w:t>
      </w:r>
    </w:p>
    <w:tbl>
      <w:tblPr>
        <w:tblStyle w:val="10"/>
        <w:tblW w:w="10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7"/>
        <w:gridCol w:w="6002"/>
      </w:tblGrid>
      <w:tr w14:paraId="65F7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37" w:type="dxa"/>
            <w:noWrap w:val="0"/>
            <w:vAlign w:val="center"/>
          </w:tcPr>
          <w:p w14:paraId="017D6999">
            <w:pPr>
              <w:spacing w:line="360" w:lineRule="auto"/>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分值构成（100分）</w:t>
            </w:r>
          </w:p>
        </w:tc>
        <w:tc>
          <w:tcPr>
            <w:tcW w:w="6002" w:type="dxa"/>
            <w:noWrap w:val="0"/>
            <w:vAlign w:val="center"/>
          </w:tcPr>
          <w:p w14:paraId="611A4F5F">
            <w:pPr>
              <w:spacing w:line="360" w:lineRule="auto"/>
              <w:jc w:val="left"/>
              <w:rPr>
                <w:rFonts w:hint="eastAsia" w:ascii="宋体" w:hAnsi="宋体" w:eastAsia="宋体" w:cs="宋体"/>
                <w:bCs/>
                <w:color w:val="000000"/>
                <w:sz w:val="18"/>
                <w:szCs w:val="18"/>
                <w:highlight w:val="none"/>
              </w:rPr>
            </w:pPr>
            <w:r>
              <w:rPr>
                <w:rFonts w:hint="eastAsia" w:ascii="宋体" w:hAnsi="宋体" w:eastAsia="宋体" w:cs="宋体"/>
                <w:bCs/>
                <w:color w:val="000000"/>
                <w:sz w:val="18"/>
                <w:szCs w:val="18"/>
                <w:highlight w:val="none"/>
              </w:rPr>
              <w:t>商务标：</w:t>
            </w:r>
            <w:r>
              <w:rPr>
                <w:rFonts w:hint="eastAsia" w:ascii="宋体" w:hAnsi="宋体" w:eastAsia="宋体" w:cs="宋体"/>
                <w:bCs/>
                <w:color w:val="000000"/>
                <w:sz w:val="18"/>
                <w:szCs w:val="18"/>
                <w:highlight w:val="none"/>
                <w:lang w:val="en-US" w:eastAsia="zh-CN"/>
              </w:rPr>
              <w:t>30</w:t>
            </w:r>
            <w:r>
              <w:rPr>
                <w:rFonts w:hint="eastAsia" w:ascii="宋体" w:hAnsi="宋体" w:eastAsia="宋体" w:cs="宋体"/>
                <w:bCs/>
                <w:color w:val="000000"/>
                <w:sz w:val="18"/>
                <w:szCs w:val="18"/>
                <w:highlight w:val="none"/>
              </w:rPr>
              <w:t>分</w:t>
            </w:r>
          </w:p>
          <w:p w14:paraId="20510CEB">
            <w:pPr>
              <w:spacing w:line="360" w:lineRule="auto"/>
              <w:jc w:val="left"/>
              <w:rPr>
                <w:rFonts w:hint="eastAsia" w:ascii="宋体" w:hAnsi="宋体" w:eastAsia="宋体" w:cs="宋体"/>
                <w:bCs/>
                <w:color w:val="000000"/>
                <w:sz w:val="18"/>
                <w:szCs w:val="18"/>
                <w:highlight w:val="none"/>
              </w:rPr>
            </w:pPr>
            <w:r>
              <w:rPr>
                <w:rFonts w:hint="eastAsia" w:ascii="宋体" w:hAnsi="宋体" w:eastAsia="宋体" w:cs="宋体"/>
                <w:bCs/>
                <w:color w:val="000000"/>
                <w:sz w:val="18"/>
                <w:szCs w:val="18"/>
                <w:highlight w:val="none"/>
              </w:rPr>
              <w:t>技术标：</w:t>
            </w:r>
            <w:r>
              <w:rPr>
                <w:rFonts w:hint="eastAsia" w:ascii="宋体" w:hAnsi="宋体" w:eastAsia="宋体" w:cs="宋体"/>
                <w:bCs/>
                <w:color w:val="000000"/>
                <w:sz w:val="18"/>
                <w:szCs w:val="18"/>
                <w:highlight w:val="none"/>
                <w:lang w:val="en-US" w:eastAsia="zh-CN"/>
              </w:rPr>
              <w:t>40</w:t>
            </w:r>
            <w:r>
              <w:rPr>
                <w:rFonts w:hint="eastAsia" w:ascii="宋体" w:hAnsi="宋体" w:eastAsia="宋体" w:cs="宋体"/>
                <w:bCs/>
                <w:color w:val="000000"/>
                <w:sz w:val="18"/>
                <w:szCs w:val="18"/>
                <w:highlight w:val="none"/>
              </w:rPr>
              <w:t>分</w:t>
            </w:r>
          </w:p>
          <w:p w14:paraId="474FC380">
            <w:pPr>
              <w:spacing w:line="360" w:lineRule="auto"/>
              <w:jc w:val="left"/>
              <w:rPr>
                <w:rFonts w:hint="eastAsia" w:ascii="宋体" w:hAnsi="宋体" w:eastAsia="宋体" w:cs="宋体"/>
                <w:bCs/>
                <w:color w:val="000000"/>
                <w:sz w:val="18"/>
                <w:szCs w:val="18"/>
                <w:highlight w:val="none"/>
              </w:rPr>
            </w:pPr>
            <w:r>
              <w:rPr>
                <w:rFonts w:hint="eastAsia" w:ascii="宋体" w:hAnsi="宋体" w:eastAsia="宋体" w:cs="宋体"/>
                <w:bCs/>
                <w:color w:val="000000"/>
                <w:sz w:val="18"/>
                <w:szCs w:val="18"/>
                <w:highlight w:val="none"/>
              </w:rPr>
              <w:t>综合标：</w:t>
            </w:r>
            <w:r>
              <w:rPr>
                <w:rFonts w:hint="eastAsia" w:ascii="宋体" w:hAnsi="宋体" w:eastAsia="宋体" w:cs="宋体"/>
                <w:bCs/>
                <w:color w:val="000000"/>
                <w:sz w:val="18"/>
                <w:szCs w:val="18"/>
                <w:highlight w:val="none"/>
                <w:lang w:val="en-US" w:eastAsia="zh-CN"/>
              </w:rPr>
              <w:t>30</w:t>
            </w:r>
            <w:r>
              <w:rPr>
                <w:rFonts w:hint="eastAsia" w:ascii="宋体" w:hAnsi="宋体" w:eastAsia="宋体" w:cs="宋体"/>
                <w:bCs/>
                <w:color w:val="000000"/>
                <w:sz w:val="18"/>
                <w:szCs w:val="18"/>
                <w:highlight w:val="none"/>
              </w:rPr>
              <w:t>分</w:t>
            </w:r>
          </w:p>
          <w:p w14:paraId="21DA03A4">
            <w:pPr>
              <w:spacing w:line="360" w:lineRule="auto"/>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供应商综合得分=商务标+技术标+综合标</w:t>
            </w:r>
          </w:p>
        </w:tc>
      </w:tr>
    </w:tbl>
    <w:tbl>
      <w:tblPr>
        <w:tblStyle w:val="10"/>
        <w:tblpPr w:leftFromText="180" w:rightFromText="180" w:vertAnchor="text" w:horzAnchor="page" w:tblpX="909" w:tblpY="18"/>
        <w:tblOverlap w:val="never"/>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27"/>
        <w:gridCol w:w="795"/>
        <w:gridCol w:w="1122"/>
        <w:gridCol w:w="6382"/>
        <w:gridCol w:w="804"/>
      </w:tblGrid>
      <w:tr w14:paraId="4177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49" w:hRule="atLeast"/>
        </w:trPr>
        <w:tc>
          <w:tcPr>
            <w:tcW w:w="899" w:type="pct"/>
            <w:gridSpan w:val="2"/>
            <w:tcMar>
              <w:top w:w="60" w:type="dxa"/>
              <w:left w:w="120" w:type="dxa"/>
              <w:bottom w:w="30" w:type="dxa"/>
              <w:right w:w="120" w:type="dxa"/>
            </w:tcMar>
            <w:vAlign w:val="center"/>
          </w:tcPr>
          <w:p w14:paraId="7108DDB0">
            <w:pPr>
              <w:pStyle w:val="16"/>
              <w:jc w:val="cente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评审项目</w:t>
            </w:r>
          </w:p>
        </w:tc>
        <w:tc>
          <w:tcPr>
            <w:tcW w:w="553" w:type="pct"/>
            <w:tcMar>
              <w:top w:w="60" w:type="dxa"/>
              <w:left w:w="120" w:type="dxa"/>
              <w:bottom w:w="30" w:type="dxa"/>
              <w:right w:w="120" w:type="dxa"/>
            </w:tcMar>
            <w:vAlign w:val="center"/>
          </w:tcPr>
          <w:p w14:paraId="3258A5C3">
            <w:pPr>
              <w:pStyle w:val="16"/>
              <w:jc w:val="center"/>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权重分值</w:t>
            </w:r>
          </w:p>
        </w:tc>
        <w:tc>
          <w:tcPr>
            <w:tcW w:w="3149" w:type="pct"/>
            <w:tcMar>
              <w:top w:w="60" w:type="dxa"/>
              <w:left w:w="120" w:type="dxa"/>
              <w:bottom w:w="30" w:type="dxa"/>
              <w:right w:w="120" w:type="dxa"/>
            </w:tcMar>
            <w:vAlign w:val="center"/>
          </w:tcPr>
          <w:p w14:paraId="01B884E1">
            <w:pPr>
              <w:pStyle w:val="16"/>
              <w:jc w:val="center"/>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详细评分标准</w:t>
            </w:r>
          </w:p>
        </w:tc>
        <w:tc>
          <w:tcPr>
            <w:tcW w:w="396" w:type="pct"/>
            <w:tcMar>
              <w:top w:w="60" w:type="dxa"/>
              <w:left w:w="120" w:type="dxa"/>
              <w:bottom w:w="30" w:type="dxa"/>
              <w:right w:w="120" w:type="dxa"/>
            </w:tcMar>
            <w:vAlign w:val="center"/>
          </w:tcPr>
          <w:p w14:paraId="7352F012">
            <w:pPr>
              <w:pStyle w:val="16"/>
              <w:jc w:val="center"/>
              <w:rPr>
                <w:rFonts w:hint="eastAsia" w:asciiTheme="majorEastAsia" w:hAnsiTheme="majorEastAsia" w:eastAsiaTheme="majorEastAsia" w:cstheme="majorEastAsia"/>
                <w:sz w:val="18"/>
                <w:szCs w:val="18"/>
                <w:lang w:val="en-US" w:eastAsia="zh-CN"/>
              </w:rPr>
            </w:pPr>
            <w:r>
              <w:rPr>
                <w:rFonts w:hint="eastAsia" w:asciiTheme="majorEastAsia" w:hAnsiTheme="majorEastAsia" w:eastAsiaTheme="majorEastAsia" w:cstheme="majorEastAsia"/>
                <w:sz w:val="18"/>
                <w:szCs w:val="18"/>
                <w:lang w:val="en-US" w:eastAsia="zh-CN"/>
              </w:rPr>
              <w:t>得分</w:t>
            </w:r>
          </w:p>
        </w:tc>
      </w:tr>
      <w:tr w14:paraId="11EF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90" w:hRule="atLeast"/>
        </w:trPr>
        <w:tc>
          <w:tcPr>
            <w:tcW w:w="506" w:type="pct"/>
            <w:tcBorders>
              <w:bottom w:val="single" w:color="000000" w:sz="4" w:space="0"/>
            </w:tcBorders>
            <w:tcMar>
              <w:top w:w="60" w:type="dxa"/>
              <w:left w:w="120" w:type="dxa"/>
              <w:bottom w:w="30" w:type="dxa"/>
              <w:right w:w="120" w:type="dxa"/>
            </w:tcMar>
            <w:vAlign w:val="center"/>
          </w:tcPr>
          <w:p w14:paraId="3BBD3D3B">
            <w:pPr>
              <w:pStyle w:val="16"/>
              <w:jc w:val="center"/>
              <w:rPr>
                <w:rFonts w:hint="eastAsia" w:asciiTheme="majorEastAsia" w:hAnsiTheme="majorEastAsia" w:eastAsiaTheme="majorEastAsia" w:cstheme="majorEastAsia"/>
                <w:b w:val="0"/>
                <w:bCs w:val="0"/>
                <w:sz w:val="18"/>
                <w:szCs w:val="18"/>
                <w:lang w:val="en-US" w:eastAsia="zh-CN"/>
              </w:rPr>
            </w:pPr>
            <w:r>
              <w:rPr>
                <w:rFonts w:hint="eastAsia" w:asciiTheme="majorEastAsia" w:hAnsiTheme="majorEastAsia" w:eastAsiaTheme="majorEastAsia" w:cstheme="majorEastAsia"/>
                <w:b w:val="0"/>
                <w:bCs w:val="0"/>
                <w:sz w:val="18"/>
                <w:szCs w:val="18"/>
                <w:lang w:eastAsia="zh-CN"/>
              </w:rPr>
              <w:t>商务标</w:t>
            </w:r>
            <w:r>
              <w:rPr>
                <w:rFonts w:hint="eastAsia" w:asciiTheme="majorEastAsia" w:hAnsiTheme="majorEastAsia" w:eastAsiaTheme="majorEastAsia" w:cstheme="majorEastAsia"/>
                <w:b w:val="0"/>
                <w:bCs w:val="0"/>
                <w:sz w:val="18"/>
                <w:szCs w:val="18"/>
                <w:lang w:val="en-US" w:eastAsia="zh-CN"/>
              </w:rPr>
              <w:t>30分</w:t>
            </w:r>
          </w:p>
        </w:tc>
        <w:tc>
          <w:tcPr>
            <w:tcW w:w="392" w:type="pct"/>
            <w:tcMar>
              <w:top w:w="60" w:type="dxa"/>
              <w:left w:w="120" w:type="dxa"/>
              <w:bottom w:w="30" w:type="dxa"/>
              <w:right w:w="120" w:type="dxa"/>
            </w:tcMar>
            <w:vAlign w:val="center"/>
          </w:tcPr>
          <w:p w14:paraId="2971FCD8">
            <w:pPr>
              <w:pStyle w:val="16"/>
              <w:jc w:val="center"/>
              <w:rPr>
                <w:rFonts w:hint="eastAsia" w:asciiTheme="majorEastAsia" w:hAnsiTheme="majorEastAsia" w:eastAsiaTheme="majorEastAsia" w:cstheme="majorEastAsia"/>
                <w:b w:val="0"/>
                <w:bCs w:val="0"/>
                <w:sz w:val="18"/>
                <w:szCs w:val="18"/>
                <w:lang w:eastAsia="zh-CN"/>
              </w:rPr>
            </w:pPr>
            <w:r>
              <w:rPr>
                <w:rFonts w:hint="eastAsia" w:asciiTheme="majorEastAsia" w:hAnsiTheme="majorEastAsia" w:eastAsiaTheme="majorEastAsia" w:cstheme="majorEastAsia"/>
                <w:b w:val="0"/>
                <w:bCs w:val="0"/>
                <w:sz w:val="18"/>
                <w:szCs w:val="18"/>
                <w:lang w:eastAsia="zh-CN"/>
              </w:rPr>
              <w:t>报价</w:t>
            </w:r>
          </w:p>
          <w:p w14:paraId="622B1D17">
            <w:pPr>
              <w:pStyle w:val="16"/>
              <w:jc w:val="center"/>
              <w:rPr>
                <w:rFonts w:hint="eastAsia" w:asciiTheme="majorEastAsia" w:hAnsiTheme="majorEastAsia" w:eastAsiaTheme="majorEastAsia" w:cstheme="majorEastAsia"/>
                <w:b w:val="0"/>
                <w:bCs w:val="0"/>
                <w:sz w:val="18"/>
                <w:szCs w:val="18"/>
                <w:lang w:eastAsia="zh-CN"/>
              </w:rPr>
            </w:pPr>
            <w:r>
              <w:rPr>
                <w:rFonts w:hint="eastAsia" w:asciiTheme="majorEastAsia" w:hAnsiTheme="majorEastAsia" w:eastAsiaTheme="majorEastAsia" w:cstheme="majorEastAsia"/>
                <w:b w:val="0"/>
                <w:bCs w:val="0"/>
                <w:sz w:val="18"/>
                <w:szCs w:val="18"/>
                <w:lang w:eastAsia="zh-CN"/>
              </w:rPr>
              <w:t>得分</w:t>
            </w:r>
          </w:p>
        </w:tc>
        <w:tc>
          <w:tcPr>
            <w:tcW w:w="553" w:type="pct"/>
            <w:tcMar>
              <w:top w:w="60" w:type="dxa"/>
              <w:left w:w="120" w:type="dxa"/>
              <w:bottom w:w="30" w:type="dxa"/>
              <w:right w:w="120" w:type="dxa"/>
            </w:tcMar>
            <w:vAlign w:val="center"/>
          </w:tcPr>
          <w:p w14:paraId="7A8319B1">
            <w:pPr>
              <w:pStyle w:val="16"/>
              <w:jc w:val="center"/>
              <w:rPr>
                <w:rFonts w:hint="eastAsia" w:asciiTheme="majorEastAsia" w:hAnsiTheme="majorEastAsia" w:eastAsiaTheme="majorEastAsia" w:cstheme="majorEastAsia"/>
                <w:sz w:val="18"/>
                <w:szCs w:val="18"/>
                <w:lang w:val="en-US" w:eastAsia="zh-CN"/>
              </w:rPr>
            </w:pPr>
            <w:r>
              <w:rPr>
                <w:rFonts w:hint="eastAsia" w:asciiTheme="majorEastAsia" w:hAnsiTheme="majorEastAsia" w:eastAsiaTheme="majorEastAsia" w:cstheme="majorEastAsia"/>
                <w:sz w:val="18"/>
                <w:szCs w:val="18"/>
                <w:lang w:val="en-US" w:eastAsia="zh-CN"/>
              </w:rPr>
              <w:t>30分</w:t>
            </w:r>
          </w:p>
        </w:tc>
        <w:tc>
          <w:tcPr>
            <w:tcW w:w="3149" w:type="pct"/>
            <w:tcMar>
              <w:top w:w="60" w:type="dxa"/>
              <w:left w:w="120" w:type="dxa"/>
              <w:bottom w:w="30" w:type="dxa"/>
              <w:right w:w="120" w:type="dxa"/>
            </w:tcMar>
            <w:vAlign w:val="center"/>
          </w:tcPr>
          <w:tbl>
            <w:tblPr>
              <w:tblStyle w:val="10"/>
              <w:tblW w:w="62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00"/>
            </w:tblGrid>
            <w:tr w14:paraId="159A4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4" w:hRule="atLeast"/>
                <w:jc w:val="center"/>
              </w:trPr>
              <w:tc>
                <w:tcPr>
                  <w:tcW w:w="6200" w:type="dxa"/>
                  <w:tcBorders>
                    <w:tl2br w:val="nil"/>
                    <w:tr2bl w:val="nil"/>
                  </w:tcBorders>
                  <w:noWrap w:val="0"/>
                  <w:vAlign w:val="center"/>
                </w:tcPr>
                <w:p w14:paraId="2E50DFC2">
                  <w:pPr>
                    <w:spacing w:line="400" w:lineRule="exact"/>
                    <w:jc w:val="left"/>
                    <w:rPr>
                      <w:rFonts w:hint="eastAsia" w:asciiTheme="majorEastAsia" w:hAnsiTheme="majorEastAsia" w:eastAsiaTheme="majorEastAsia" w:cstheme="majorEastAsia"/>
                      <w:color w:val="auto"/>
                      <w:sz w:val="18"/>
                      <w:szCs w:val="18"/>
                    </w:rPr>
                  </w:pPr>
                  <w:r>
                    <w:rPr>
                      <w:rFonts w:hint="eastAsia" w:asciiTheme="majorEastAsia" w:hAnsiTheme="majorEastAsia" w:eastAsiaTheme="majorEastAsia" w:cstheme="majorEastAsia"/>
                      <w:color w:val="auto"/>
                      <w:sz w:val="18"/>
                      <w:szCs w:val="18"/>
                    </w:rPr>
                    <w:t>价格分应当采用低价优先法计算，即满足</w:t>
                  </w:r>
                  <w:r>
                    <w:rPr>
                      <w:rFonts w:hint="eastAsia" w:asciiTheme="majorEastAsia" w:hAnsiTheme="majorEastAsia" w:eastAsiaTheme="majorEastAsia" w:cstheme="majorEastAsia"/>
                      <w:color w:val="auto"/>
                      <w:sz w:val="18"/>
                      <w:szCs w:val="18"/>
                      <w:lang w:eastAsia="zh-CN"/>
                    </w:rPr>
                    <w:t>招标</w:t>
                  </w:r>
                  <w:r>
                    <w:rPr>
                      <w:rFonts w:hint="eastAsia" w:asciiTheme="majorEastAsia" w:hAnsiTheme="majorEastAsia" w:eastAsiaTheme="majorEastAsia" w:cstheme="majorEastAsia"/>
                      <w:color w:val="auto"/>
                      <w:sz w:val="18"/>
                      <w:szCs w:val="18"/>
                    </w:rPr>
                    <w:t>文件要求且价格最低的报价为基准价，其价格分为满分。其他供应商的价格分统一按照下列公式计算：</w:t>
                  </w:r>
                </w:p>
                <w:p w14:paraId="5A776615">
                  <w:pPr>
                    <w:spacing w:line="400" w:lineRule="exact"/>
                    <w:jc w:val="left"/>
                    <w:rPr>
                      <w:rFonts w:hint="eastAsia" w:asciiTheme="majorEastAsia" w:hAnsiTheme="majorEastAsia" w:eastAsiaTheme="majorEastAsia" w:cstheme="majorEastAsia"/>
                      <w:color w:val="auto"/>
                      <w:sz w:val="18"/>
                      <w:szCs w:val="18"/>
                    </w:rPr>
                  </w:pPr>
                  <w:r>
                    <w:rPr>
                      <w:rFonts w:hint="eastAsia" w:asciiTheme="majorEastAsia" w:hAnsiTheme="majorEastAsia" w:eastAsiaTheme="majorEastAsia" w:cstheme="majorEastAsia"/>
                      <w:color w:val="auto"/>
                      <w:sz w:val="18"/>
                      <w:szCs w:val="18"/>
                    </w:rPr>
                    <w:t>报价得分=(基准价/报价)×价格权重</w:t>
                  </w:r>
                </w:p>
                <w:p w14:paraId="43B336B1">
                  <w:pPr>
                    <w:spacing w:line="400" w:lineRule="exact"/>
                    <w:jc w:val="left"/>
                    <w:rPr>
                      <w:rFonts w:hint="eastAsia" w:asciiTheme="majorEastAsia" w:hAnsiTheme="majorEastAsia" w:eastAsiaTheme="majorEastAsia" w:cstheme="majorEastAsia"/>
                      <w:color w:val="auto"/>
                      <w:sz w:val="18"/>
                      <w:szCs w:val="18"/>
                      <w:lang w:eastAsia="zh-CN"/>
                    </w:rPr>
                  </w:pPr>
                  <w:r>
                    <w:rPr>
                      <w:rFonts w:hint="eastAsia" w:asciiTheme="majorEastAsia" w:hAnsiTheme="majorEastAsia" w:eastAsiaTheme="majorEastAsia" w:cstheme="majorEastAsia"/>
                      <w:color w:val="auto"/>
                      <w:sz w:val="18"/>
                      <w:szCs w:val="18"/>
                    </w:rPr>
                    <w:t>注：</w:t>
                  </w:r>
                  <w:r>
                    <w:rPr>
                      <w:rFonts w:hint="eastAsia" w:asciiTheme="majorEastAsia" w:hAnsiTheme="majorEastAsia" w:eastAsiaTheme="majorEastAsia" w:cstheme="majorEastAsia"/>
                      <w:color w:val="auto"/>
                      <w:sz w:val="18"/>
                      <w:szCs w:val="18"/>
                      <w:lang w:val="en-US" w:eastAsia="zh-CN"/>
                    </w:rPr>
                    <w:t>1.</w:t>
                  </w:r>
                  <w:r>
                    <w:rPr>
                      <w:rFonts w:hint="eastAsia" w:asciiTheme="majorEastAsia" w:hAnsiTheme="majorEastAsia" w:eastAsiaTheme="majorEastAsia" w:cstheme="majorEastAsia"/>
                      <w:color w:val="auto"/>
                      <w:sz w:val="18"/>
                      <w:szCs w:val="18"/>
                    </w:rPr>
                    <w:t>本项目价格权重</w:t>
                  </w:r>
                  <w:r>
                    <w:rPr>
                      <w:rFonts w:hint="eastAsia" w:asciiTheme="majorEastAsia" w:hAnsiTheme="majorEastAsia" w:eastAsiaTheme="majorEastAsia" w:cstheme="majorEastAsia"/>
                      <w:color w:val="auto"/>
                      <w:sz w:val="18"/>
                      <w:szCs w:val="18"/>
                      <w:lang w:val="en-US" w:eastAsia="zh-CN"/>
                    </w:rPr>
                    <w:t>30</w:t>
                  </w:r>
                  <w:r>
                    <w:rPr>
                      <w:rFonts w:hint="eastAsia" w:asciiTheme="majorEastAsia" w:hAnsiTheme="majorEastAsia" w:eastAsiaTheme="majorEastAsia" w:cstheme="majorEastAsia"/>
                      <w:color w:val="auto"/>
                      <w:sz w:val="18"/>
                      <w:szCs w:val="18"/>
                    </w:rPr>
                    <w:t>分</w:t>
                  </w:r>
                  <w:r>
                    <w:rPr>
                      <w:rFonts w:hint="eastAsia" w:asciiTheme="majorEastAsia" w:hAnsiTheme="majorEastAsia" w:eastAsiaTheme="majorEastAsia" w:cstheme="majorEastAsia"/>
                      <w:color w:val="auto"/>
                      <w:sz w:val="18"/>
                      <w:szCs w:val="18"/>
                      <w:lang w:eastAsia="zh-CN"/>
                    </w:rPr>
                    <w:t>；</w:t>
                  </w:r>
                </w:p>
                <w:p w14:paraId="03D21812">
                  <w:pPr>
                    <w:spacing w:line="400" w:lineRule="exact"/>
                    <w:jc w:val="left"/>
                    <w:rPr>
                      <w:rFonts w:hint="eastAsia" w:asciiTheme="majorEastAsia" w:hAnsiTheme="majorEastAsia" w:eastAsiaTheme="majorEastAsia" w:cstheme="majorEastAsia"/>
                      <w:color w:val="auto"/>
                      <w:sz w:val="18"/>
                      <w:szCs w:val="18"/>
                      <w:lang w:val="en-US" w:eastAsia="zh-CN"/>
                    </w:rPr>
                  </w:pPr>
                  <w:r>
                    <w:rPr>
                      <w:rFonts w:hint="eastAsia" w:asciiTheme="majorEastAsia" w:hAnsiTheme="majorEastAsia" w:eastAsiaTheme="majorEastAsia" w:cstheme="majorEastAsia"/>
                      <w:color w:val="auto"/>
                      <w:sz w:val="18"/>
                      <w:szCs w:val="18"/>
                      <w:lang w:val="en-US" w:eastAsia="zh-CN"/>
                    </w:rPr>
                    <w:t>2.评审小组评审中发现供应商的报价明显低于其他通过符合性审查供应商的报价，可能影响采购质量或者项目履约的，应当要求其在评标现场合理的时间内提供书面说明，供应商不能证明其报价合理性的，评审小组应当将其作为无效投标处理。</w:t>
                  </w:r>
                </w:p>
              </w:tc>
            </w:tr>
          </w:tbl>
          <w:p w14:paraId="01AD6C61">
            <w:pPr>
              <w:pStyle w:val="16"/>
              <w:jc w:val="both"/>
              <w:rPr>
                <w:rFonts w:hint="eastAsia" w:asciiTheme="majorEastAsia" w:hAnsiTheme="majorEastAsia" w:eastAsiaTheme="majorEastAsia" w:cstheme="majorEastAsia"/>
                <w:sz w:val="18"/>
                <w:szCs w:val="18"/>
              </w:rPr>
            </w:pPr>
          </w:p>
        </w:tc>
        <w:tc>
          <w:tcPr>
            <w:tcW w:w="396" w:type="pct"/>
            <w:tcMar>
              <w:top w:w="60" w:type="dxa"/>
              <w:left w:w="120" w:type="dxa"/>
              <w:bottom w:w="30" w:type="dxa"/>
              <w:right w:w="120" w:type="dxa"/>
            </w:tcMar>
            <w:vAlign w:val="center"/>
          </w:tcPr>
          <w:p w14:paraId="728A8DD2">
            <w:pPr>
              <w:pStyle w:val="16"/>
              <w:jc w:val="center"/>
              <w:rPr>
                <w:rFonts w:hint="eastAsia" w:asciiTheme="majorEastAsia" w:hAnsiTheme="majorEastAsia" w:eastAsiaTheme="majorEastAsia" w:cstheme="majorEastAsia"/>
                <w:sz w:val="18"/>
                <w:szCs w:val="18"/>
              </w:rPr>
            </w:pPr>
          </w:p>
        </w:tc>
      </w:tr>
      <w:tr w14:paraId="6211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76" w:hRule="atLeast"/>
        </w:trPr>
        <w:tc>
          <w:tcPr>
            <w:tcW w:w="506" w:type="pct"/>
            <w:vMerge w:val="restart"/>
            <w:tcBorders>
              <w:top w:val="single" w:color="000000" w:sz="4" w:space="0"/>
              <w:left w:val="single" w:color="000000" w:sz="4" w:space="0"/>
              <w:right w:val="single" w:color="000000" w:sz="4" w:space="0"/>
            </w:tcBorders>
            <w:tcMar>
              <w:top w:w="60" w:type="dxa"/>
              <w:left w:w="120" w:type="dxa"/>
              <w:bottom w:w="30" w:type="dxa"/>
              <w:right w:w="120" w:type="dxa"/>
            </w:tcMar>
            <w:vAlign w:val="center"/>
          </w:tcPr>
          <w:p w14:paraId="010E8E5E">
            <w:pPr>
              <w:pStyle w:val="16"/>
              <w:jc w:val="center"/>
              <w:rPr>
                <w:rFonts w:hint="eastAsia" w:asciiTheme="majorEastAsia" w:hAnsiTheme="majorEastAsia" w:eastAsiaTheme="majorEastAsia" w:cstheme="majorEastAsia"/>
                <w:b w:val="0"/>
                <w:bCs w:val="0"/>
                <w:sz w:val="18"/>
                <w:szCs w:val="18"/>
              </w:rPr>
            </w:pPr>
          </w:p>
          <w:p w14:paraId="2797F1DF">
            <w:pPr>
              <w:bidi w:val="0"/>
              <w:jc w:val="center"/>
              <w:rPr>
                <w:rFonts w:hint="eastAsia" w:asciiTheme="majorEastAsia" w:hAnsiTheme="majorEastAsia" w:eastAsiaTheme="majorEastAsia" w:cstheme="majorEastAsia"/>
                <w:b w:val="0"/>
                <w:bCs w:val="0"/>
                <w:sz w:val="18"/>
                <w:szCs w:val="18"/>
              </w:rPr>
            </w:pPr>
          </w:p>
          <w:p w14:paraId="2E411CA1">
            <w:pPr>
              <w:bidi w:val="0"/>
              <w:jc w:val="center"/>
              <w:rPr>
                <w:rFonts w:hint="eastAsia" w:asciiTheme="majorEastAsia" w:hAnsiTheme="majorEastAsia" w:eastAsiaTheme="majorEastAsia" w:cstheme="majorEastAsia"/>
                <w:b w:val="0"/>
                <w:bCs w:val="0"/>
                <w:sz w:val="18"/>
                <w:szCs w:val="18"/>
                <w:lang w:val="en-US" w:eastAsia="zh-CN"/>
              </w:rPr>
            </w:pPr>
            <w:r>
              <w:rPr>
                <w:rFonts w:hint="eastAsia" w:asciiTheme="majorEastAsia" w:hAnsiTheme="majorEastAsia" w:eastAsiaTheme="majorEastAsia" w:cstheme="majorEastAsia"/>
                <w:b w:val="0"/>
                <w:bCs w:val="0"/>
                <w:sz w:val="18"/>
                <w:szCs w:val="18"/>
                <w:lang w:eastAsia="zh-CN"/>
              </w:rPr>
              <w:t>技术标</w:t>
            </w:r>
            <w:r>
              <w:rPr>
                <w:rFonts w:hint="eastAsia" w:asciiTheme="majorEastAsia" w:hAnsiTheme="majorEastAsia" w:eastAsiaTheme="majorEastAsia" w:cstheme="majorEastAsia"/>
                <w:b w:val="0"/>
                <w:bCs w:val="0"/>
                <w:sz w:val="18"/>
                <w:szCs w:val="18"/>
                <w:lang w:val="en-US" w:eastAsia="zh-CN"/>
              </w:rPr>
              <w:t>40分</w:t>
            </w:r>
          </w:p>
        </w:tc>
        <w:tc>
          <w:tcPr>
            <w:tcW w:w="392" w:type="pct"/>
            <w:tcBorders>
              <w:left w:val="single" w:color="000000" w:sz="4" w:space="0"/>
            </w:tcBorders>
            <w:tcMar>
              <w:top w:w="60" w:type="dxa"/>
              <w:left w:w="120" w:type="dxa"/>
              <w:bottom w:w="30" w:type="dxa"/>
              <w:right w:w="120" w:type="dxa"/>
            </w:tcMar>
            <w:vAlign w:val="center"/>
          </w:tcPr>
          <w:p w14:paraId="5562EBD7">
            <w:pPr>
              <w:pStyle w:val="16"/>
              <w:jc w:val="cente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机构</w:t>
            </w:r>
          </w:p>
          <w:p w14:paraId="49DDAF5F">
            <w:pPr>
              <w:pStyle w:val="16"/>
              <w:jc w:val="cente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实力</w:t>
            </w:r>
          </w:p>
        </w:tc>
        <w:tc>
          <w:tcPr>
            <w:tcW w:w="553" w:type="pct"/>
            <w:tcMar>
              <w:top w:w="60" w:type="dxa"/>
              <w:left w:w="120" w:type="dxa"/>
              <w:bottom w:w="30" w:type="dxa"/>
              <w:right w:w="120" w:type="dxa"/>
            </w:tcMar>
            <w:vAlign w:val="center"/>
          </w:tcPr>
          <w:p w14:paraId="47BDB1BA">
            <w:pPr>
              <w:pStyle w:val="16"/>
              <w:jc w:val="center"/>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1</w:t>
            </w:r>
            <w:r>
              <w:rPr>
                <w:rFonts w:hint="eastAsia" w:asciiTheme="majorEastAsia" w:hAnsiTheme="majorEastAsia" w:eastAsiaTheme="majorEastAsia" w:cstheme="majorEastAsia"/>
                <w:sz w:val="18"/>
                <w:szCs w:val="18"/>
                <w:lang w:val="en-US" w:eastAsia="zh-CN"/>
              </w:rPr>
              <w:t>5</w:t>
            </w:r>
            <w:r>
              <w:rPr>
                <w:rFonts w:hint="eastAsia" w:asciiTheme="majorEastAsia" w:hAnsiTheme="majorEastAsia" w:eastAsiaTheme="majorEastAsia" w:cstheme="majorEastAsia"/>
                <w:sz w:val="18"/>
                <w:szCs w:val="18"/>
              </w:rPr>
              <w:t>分</w:t>
            </w:r>
          </w:p>
        </w:tc>
        <w:tc>
          <w:tcPr>
            <w:tcW w:w="3149" w:type="pct"/>
            <w:tcMar>
              <w:top w:w="60" w:type="dxa"/>
              <w:left w:w="120" w:type="dxa"/>
              <w:bottom w:w="30" w:type="dxa"/>
              <w:right w:w="120" w:type="dxa"/>
            </w:tcMar>
            <w:vAlign w:val="center"/>
          </w:tcPr>
          <w:p w14:paraId="5609D7B7">
            <w:pPr>
              <w:pStyle w:val="16"/>
              <w:jc w:val="both"/>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①具备有效的政府采购代理资格/在政府采购代理机构名录内</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分；②拥有自有固定办公场所（提供产权或租赁证明）</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分；③配备独立档案存放室、开标</w:t>
            </w:r>
            <w:r>
              <w:rPr>
                <w:rFonts w:hint="eastAsia" w:asciiTheme="majorEastAsia" w:hAnsiTheme="majorEastAsia" w:eastAsiaTheme="majorEastAsia" w:cstheme="majorEastAsia"/>
                <w:sz w:val="18"/>
                <w:szCs w:val="18"/>
                <w:lang w:eastAsia="zh-CN"/>
              </w:rPr>
              <w:t>评标室得</w:t>
            </w:r>
            <w:r>
              <w:rPr>
                <w:rFonts w:hint="eastAsia" w:asciiTheme="majorEastAsia" w:hAnsiTheme="majorEastAsia" w:eastAsiaTheme="majorEastAsia" w:cstheme="majorEastAsia"/>
                <w:sz w:val="18"/>
                <w:szCs w:val="18"/>
                <w:lang w:val="en-US" w:eastAsia="zh-CN"/>
              </w:rPr>
              <w:t>4</w:t>
            </w:r>
            <w:r>
              <w:rPr>
                <w:rFonts w:hint="eastAsia" w:asciiTheme="majorEastAsia" w:hAnsiTheme="majorEastAsia" w:eastAsiaTheme="majorEastAsia" w:cstheme="majorEastAsia"/>
                <w:sz w:val="18"/>
                <w:szCs w:val="18"/>
              </w:rPr>
              <w:t>分</w:t>
            </w:r>
            <w:r>
              <w:rPr>
                <w:rFonts w:hint="eastAsia" w:asciiTheme="majorEastAsia" w:hAnsiTheme="majorEastAsia" w:eastAsiaTheme="majorEastAsia" w:cstheme="majorEastAsia"/>
                <w:sz w:val="18"/>
                <w:szCs w:val="18"/>
                <w:lang w:eastAsia="zh-CN"/>
              </w:rPr>
              <w:t>（提供场地照片）</w:t>
            </w:r>
            <w:r>
              <w:rPr>
                <w:rFonts w:hint="eastAsia" w:asciiTheme="majorEastAsia" w:hAnsiTheme="majorEastAsia" w:eastAsiaTheme="majorEastAsia" w:cstheme="majorEastAsia"/>
                <w:sz w:val="18"/>
                <w:szCs w:val="18"/>
              </w:rPr>
              <w:t>；④具备完善</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rPr>
              <w:t>内部管理制度（</w:t>
            </w:r>
            <w:r>
              <w:rPr>
                <w:rFonts w:hint="eastAsia" w:asciiTheme="majorEastAsia" w:hAnsiTheme="majorEastAsia" w:eastAsiaTheme="majorEastAsia" w:cstheme="majorEastAsia"/>
                <w:sz w:val="18"/>
                <w:szCs w:val="18"/>
                <w:lang w:eastAsia="zh-CN"/>
              </w:rPr>
              <w:t>提供</w:t>
            </w:r>
            <w:r>
              <w:rPr>
                <w:rFonts w:hint="eastAsia" w:asciiTheme="majorEastAsia" w:hAnsiTheme="majorEastAsia" w:eastAsiaTheme="majorEastAsia" w:cstheme="majorEastAsia"/>
                <w:sz w:val="18"/>
                <w:szCs w:val="18"/>
              </w:rPr>
              <w:t>质量管控、档案管理、风控制度）</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lang w:val="en-US" w:eastAsia="zh-CN"/>
              </w:rPr>
              <w:t>5</w:t>
            </w:r>
            <w:r>
              <w:rPr>
                <w:rFonts w:hint="eastAsia" w:asciiTheme="majorEastAsia" w:hAnsiTheme="majorEastAsia" w:eastAsiaTheme="majorEastAsia" w:cstheme="majorEastAsia"/>
                <w:sz w:val="18"/>
                <w:szCs w:val="18"/>
              </w:rPr>
              <w:t>分；</w:t>
            </w:r>
            <w:r>
              <w:rPr>
                <w:rFonts w:hint="eastAsia" w:asciiTheme="majorEastAsia" w:hAnsiTheme="majorEastAsia" w:eastAsiaTheme="majorEastAsia" w:cstheme="majorEastAsia"/>
                <w:sz w:val="18"/>
                <w:szCs w:val="18"/>
                <w:lang w:eastAsia="zh-CN"/>
              </w:rPr>
              <w:t>管理制度不全不得</w:t>
            </w:r>
            <w:r>
              <w:rPr>
                <w:rFonts w:hint="eastAsia" w:asciiTheme="majorEastAsia" w:hAnsiTheme="majorEastAsia" w:eastAsiaTheme="majorEastAsia" w:cstheme="majorEastAsia"/>
                <w:sz w:val="18"/>
                <w:szCs w:val="18"/>
              </w:rPr>
              <w:t>分。</w:t>
            </w:r>
          </w:p>
        </w:tc>
        <w:tc>
          <w:tcPr>
            <w:tcW w:w="396" w:type="pct"/>
            <w:tcMar>
              <w:top w:w="60" w:type="dxa"/>
              <w:left w:w="120" w:type="dxa"/>
              <w:bottom w:w="30" w:type="dxa"/>
              <w:right w:w="120" w:type="dxa"/>
            </w:tcMar>
            <w:vAlign w:val="center"/>
          </w:tcPr>
          <w:p w14:paraId="37539187">
            <w:pPr>
              <w:pStyle w:val="16"/>
              <w:jc w:val="center"/>
              <w:rPr>
                <w:rFonts w:hint="eastAsia" w:asciiTheme="majorEastAsia" w:hAnsiTheme="majorEastAsia" w:eastAsiaTheme="majorEastAsia" w:cstheme="majorEastAsia"/>
                <w:sz w:val="18"/>
                <w:szCs w:val="18"/>
              </w:rPr>
            </w:pPr>
          </w:p>
        </w:tc>
      </w:tr>
      <w:tr w14:paraId="0A90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17" w:hRule="atLeast"/>
        </w:trPr>
        <w:tc>
          <w:tcPr>
            <w:tcW w:w="506" w:type="pct"/>
            <w:vMerge w:val="continue"/>
            <w:tcBorders>
              <w:left w:val="single" w:color="000000" w:sz="4" w:space="0"/>
              <w:right w:val="single" w:color="000000" w:sz="4" w:space="0"/>
            </w:tcBorders>
            <w:tcMar>
              <w:top w:w="60" w:type="dxa"/>
              <w:left w:w="120" w:type="dxa"/>
              <w:bottom w:w="30" w:type="dxa"/>
              <w:right w:w="120" w:type="dxa"/>
            </w:tcMar>
            <w:vAlign w:val="center"/>
          </w:tcPr>
          <w:p w14:paraId="5076286A">
            <w:pPr>
              <w:pStyle w:val="16"/>
              <w:jc w:val="center"/>
              <w:rPr>
                <w:rFonts w:hint="eastAsia" w:asciiTheme="majorEastAsia" w:hAnsiTheme="majorEastAsia" w:eastAsiaTheme="majorEastAsia" w:cstheme="majorEastAsia"/>
                <w:b w:val="0"/>
                <w:bCs w:val="0"/>
                <w:sz w:val="18"/>
                <w:szCs w:val="18"/>
              </w:rPr>
            </w:pPr>
          </w:p>
        </w:tc>
        <w:tc>
          <w:tcPr>
            <w:tcW w:w="392" w:type="pct"/>
            <w:tcBorders>
              <w:left w:val="single" w:color="000000" w:sz="4" w:space="0"/>
            </w:tcBorders>
            <w:tcMar>
              <w:top w:w="60" w:type="dxa"/>
              <w:left w:w="120" w:type="dxa"/>
              <w:bottom w:w="30" w:type="dxa"/>
              <w:right w:w="120" w:type="dxa"/>
            </w:tcMar>
            <w:vAlign w:val="center"/>
          </w:tcPr>
          <w:p w14:paraId="3C50EADD">
            <w:pPr>
              <w:pStyle w:val="16"/>
              <w:jc w:val="cente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人员</w:t>
            </w:r>
          </w:p>
          <w:p w14:paraId="5719953A">
            <w:pPr>
              <w:pStyle w:val="16"/>
              <w:jc w:val="cente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配置</w:t>
            </w:r>
          </w:p>
        </w:tc>
        <w:tc>
          <w:tcPr>
            <w:tcW w:w="553" w:type="pct"/>
            <w:tcMar>
              <w:top w:w="60" w:type="dxa"/>
              <w:left w:w="120" w:type="dxa"/>
              <w:bottom w:w="30" w:type="dxa"/>
              <w:right w:w="120" w:type="dxa"/>
            </w:tcMar>
            <w:vAlign w:val="center"/>
          </w:tcPr>
          <w:p w14:paraId="31301ED1">
            <w:pPr>
              <w:pStyle w:val="16"/>
              <w:jc w:val="center"/>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1</w:t>
            </w:r>
            <w:r>
              <w:rPr>
                <w:rFonts w:hint="eastAsia" w:asciiTheme="majorEastAsia" w:hAnsiTheme="majorEastAsia" w:eastAsiaTheme="majorEastAsia" w:cstheme="majorEastAsia"/>
                <w:sz w:val="18"/>
                <w:szCs w:val="18"/>
                <w:lang w:val="en-US" w:eastAsia="zh-CN"/>
              </w:rPr>
              <w:t>5</w:t>
            </w:r>
            <w:r>
              <w:rPr>
                <w:rFonts w:hint="eastAsia" w:asciiTheme="majorEastAsia" w:hAnsiTheme="majorEastAsia" w:eastAsiaTheme="majorEastAsia" w:cstheme="majorEastAsia"/>
                <w:sz w:val="18"/>
                <w:szCs w:val="18"/>
              </w:rPr>
              <w:t>分</w:t>
            </w:r>
          </w:p>
        </w:tc>
        <w:tc>
          <w:tcPr>
            <w:tcW w:w="3149" w:type="pct"/>
            <w:tcMar>
              <w:top w:w="60" w:type="dxa"/>
              <w:left w:w="120" w:type="dxa"/>
              <w:bottom w:w="30" w:type="dxa"/>
              <w:right w:w="120" w:type="dxa"/>
            </w:tcMar>
            <w:vAlign w:val="center"/>
          </w:tcPr>
          <w:p w14:paraId="1EF36BAA">
            <w:pPr>
              <w:pStyle w:val="16"/>
              <w:jc w:val="both"/>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rPr>
              <w:t>①项目负责人：具备相关</w:t>
            </w:r>
            <w:r>
              <w:rPr>
                <w:rFonts w:hint="eastAsia" w:asciiTheme="majorEastAsia" w:hAnsiTheme="majorEastAsia" w:eastAsiaTheme="majorEastAsia" w:cstheme="majorEastAsia"/>
                <w:sz w:val="18"/>
                <w:szCs w:val="18"/>
                <w:lang w:eastAsia="zh-CN"/>
              </w:rPr>
              <w:t>专业</w:t>
            </w:r>
            <w:r>
              <w:rPr>
                <w:rFonts w:hint="eastAsia" w:asciiTheme="majorEastAsia" w:hAnsiTheme="majorEastAsia" w:eastAsiaTheme="majorEastAsia" w:cstheme="majorEastAsia"/>
                <w:sz w:val="18"/>
                <w:szCs w:val="18"/>
              </w:rPr>
              <w:t>中级及以上职称</w:t>
            </w:r>
            <w:r>
              <w:rPr>
                <w:rFonts w:hint="eastAsia" w:asciiTheme="majorEastAsia" w:hAnsiTheme="majorEastAsia" w:eastAsiaTheme="majorEastAsia" w:cstheme="majorEastAsia"/>
                <w:sz w:val="18"/>
                <w:szCs w:val="18"/>
                <w:lang w:eastAsia="zh-CN"/>
              </w:rPr>
              <w:t>，具有</w:t>
            </w:r>
            <w:r>
              <w:rPr>
                <w:rFonts w:hint="eastAsia" w:asciiTheme="majorEastAsia" w:hAnsiTheme="majorEastAsia" w:eastAsiaTheme="majorEastAsia" w:cstheme="majorEastAsia"/>
                <w:sz w:val="18"/>
                <w:szCs w:val="18"/>
              </w:rPr>
              <w:t>3年以上招标代理经验</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lang w:val="en-US" w:eastAsia="zh-CN"/>
              </w:rPr>
              <w:t>5</w:t>
            </w:r>
            <w:r>
              <w:rPr>
                <w:rFonts w:hint="eastAsia" w:asciiTheme="majorEastAsia" w:hAnsiTheme="majorEastAsia" w:eastAsiaTheme="majorEastAsia" w:cstheme="majorEastAsia"/>
                <w:sz w:val="18"/>
                <w:szCs w:val="18"/>
              </w:rPr>
              <w:t>分；②专职从业人员：每提供1名专职人员得</w:t>
            </w:r>
            <w:r>
              <w:rPr>
                <w:rFonts w:hint="eastAsia" w:asciiTheme="majorEastAsia" w:hAnsiTheme="majorEastAsia" w:eastAsiaTheme="majorEastAsia" w:cstheme="majorEastAsia"/>
                <w:sz w:val="18"/>
                <w:szCs w:val="18"/>
                <w:lang w:val="en-US" w:eastAsia="zh-CN"/>
              </w:rPr>
              <w:t>2</w:t>
            </w:r>
            <w:r>
              <w:rPr>
                <w:rFonts w:hint="eastAsia" w:asciiTheme="majorEastAsia" w:hAnsiTheme="majorEastAsia" w:eastAsiaTheme="majorEastAsia" w:cstheme="majorEastAsia"/>
                <w:sz w:val="18"/>
                <w:szCs w:val="18"/>
              </w:rPr>
              <w:t>分，最多</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lang w:val="en-US" w:eastAsia="zh-CN"/>
              </w:rPr>
              <w:t>6</w:t>
            </w:r>
            <w:r>
              <w:rPr>
                <w:rFonts w:hint="eastAsia" w:asciiTheme="majorEastAsia" w:hAnsiTheme="majorEastAsia" w:eastAsiaTheme="majorEastAsia" w:cstheme="majorEastAsia"/>
                <w:sz w:val="18"/>
                <w:szCs w:val="18"/>
              </w:rPr>
              <w:t>分</w:t>
            </w:r>
            <w:r>
              <w:rPr>
                <w:rFonts w:hint="eastAsia" w:asciiTheme="majorEastAsia" w:hAnsiTheme="majorEastAsia" w:eastAsiaTheme="majorEastAsia" w:cstheme="majorEastAsia"/>
                <w:sz w:val="18"/>
                <w:szCs w:val="18"/>
                <w:lang w:eastAsia="zh-CN"/>
              </w:rPr>
              <w:t>（提供专业证书）</w:t>
            </w:r>
            <w:r>
              <w:rPr>
                <w:rFonts w:hint="eastAsia" w:asciiTheme="majorEastAsia" w:hAnsiTheme="majorEastAsia" w:eastAsiaTheme="majorEastAsia" w:cstheme="majorEastAsia"/>
                <w:sz w:val="18"/>
                <w:szCs w:val="18"/>
              </w:rPr>
              <w:t>；③配备专职档案管理员、风控专员</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lang w:val="en-US" w:eastAsia="zh-CN"/>
              </w:rPr>
              <w:t>4</w:t>
            </w:r>
            <w:r>
              <w:rPr>
                <w:rFonts w:hint="eastAsia" w:asciiTheme="majorEastAsia" w:hAnsiTheme="majorEastAsia" w:eastAsiaTheme="majorEastAsia" w:cstheme="majorEastAsia"/>
                <w:sz w:val="18"/>
                <w:szCs w:val="18"/>
              </w:rPr>
              <w:t>分</w:t>
            </w:r>
            <w:r>
              <w:rPr>
                <w:rFonts w:hint="eastAsia" w:asciiTheme="majorEastAsia" w:hAnsiTheme="majorEastAsia" w:eastAsiaTheme="majorEastAsia" w:cstheme="majorEastAsia"/>
                <w:sz w:val="18"/>
                <w:szCs w:val="18"/>
                <w:lang w:eastAsia="zh-CN"/>
              </w:rPr>
              <w:t>（提供岗位证书）。以上人员均需提供社保证明，否则不得分。</w:t>
            </w:r>
          </w:p>
        </w:tc>
        <w:tc>
          <w:tcPr>
            <w:tcW w:w="396" w:type="pct"/>
            <w:tcMar>
              <w:top w:w="60" w:type="dxa"/>
              <w:left w:w="120" w:type="dxa"/>
              <w:bottom w:w="30" w:type="dxa"/>
              <w:right w:w="120" w:type="dxa"/>
            </w:tcMar>
            <w:vAlign w:val="center"/>
          </w:tcPr>
          <w:p w14:paraId="48A83933">
            <w:pPr>
              <w:pStyle w:val="16"/>
              <w:jc w:val="center"/>
              <w:rPr>
                <w:rFonts w:hint="eastAsia" w:asciiTheme="majorEastAsia" w:hAnsiTheme="majorEastAsia" w:eastAsiaTheme="majorEastAsia" w:cstheme="majorEastAsia"/>
                <w:sz w:val="18"/>
                <w:szCs w:val="18"/>
              </w:rPr>
            </w:pPr>
          </w:p>
        </w:tc>
      </w:tr>
      <w:tr w14:paraId="5543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8" w:hRule="atLeast"/>
        </w:trPr>
        <w:tc>
          <w:tcPr>
            <w:tcW w:w="506" w:type="pct"/>
            <w:vMerge w:val="continue"/>
            <w:tcBorders>
              <w:left w:val="single" w:color="000000" w:sz="4" w:space="0"/>
              <w:right w:val="single" w:color="000000" w:sz="4" w:space="0"/>
            </w:tcBorders>
            <w:tcMar>
              <w:top w:w="60" w:type="dxa"/>
              <w:left w:w="120" w:type="dxa"/>
              <w:bottom w:w="30" w:type="dxa"/>
              <w:right w:w="120" w:type="dxa"/>
            </w:tcMar>
            <w:vAlign w:val="center"/>
          </w:tcPr>
          <w:p w14:paraId="478E3592">
            <w:pPr>
              <w:pStyle w:val="16"/>
              <w:jc w:val="center"/>
              <w:rPr>
                <w:rFonts w:hint="eastAsia" w:asciiTheme="majorEastAsia" w:hAnsiTheme="majorEastAsia" w:eastAsiaTheme="majorEastAsia" w:cstheme="majorEastAsia"/>
                <w:b w:val="0"/>
                <w:bCs w:val="0"/>
                <w:sz w:val="18"/>
                <w:szCs w:val="18"/>
              </w:rPr>
            </w:pPr>
          </w:p>
        </w:tc>
        <w:tc>
          <w:tcPr>
            <w:tcW w:w="392" w:type="pct"/>
            <w:tcBorders>
              <w:left w:val="single" w:color="000000" w:sz="4" w:space="0"/>
            </w:tcBorders>
            <w:tcMar>
              <w:top w:w="60" w:type="dxa"/>
              <w:left w:w="120" w:type="dxa"/>
              <w:bottom w:w="30" w:type="dxa"/>
              <w:right w:w="120" w:type="dxa"/>
            </w:tcMar>
            <w:vAlign w:val="center"/>
          </w:tcPr>
          <w:p w14:paraId="12A6BB0F">
            <w:pPr>
              <w:pStyle w:val="16"/>
              <w:jc w:val="cente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信用</w:t>
            </w:r>
          </w:p>
          <w:p w14:paraId="26EE89E2">
            <w:pPr>
              <w:pStyle w:val="16"/>
              <w:jc w:val="cente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状况</w:t>
            </w:r>
          </w:p>
        </w:tc>
        <w:tc>
          <w:tcPr>
            <w:tcW w:w="553" w:type="pct"/>
            <w:tcMar>
              <w:top w:w="60" w:type="dxa"/>
              <w:left w:w="120" w:type="dxa"/>
              <w:bottom w:w="30" w:type="dxa"/>
              <w:right w:w="120" w:type="dxa"/>
            </w:tcMar>
            <w:vAlign w:val="center"/>
          </w:tcPr>
          <w:p w14:paraId="5BAC6969">
            <w:pPr>
              <w:pStyle w:val="16"/>
              <w:jc w:val="center"/>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1</w:t>
            </w:r>
            <w:r>
              <w:rPr>
                <w:rFonts w:hint="eastAsia" w:asciiTheme="majorEastAsia" w:hAnsiTheme="majorEastAsia" w:eastAsiaTheme="majorEastAsia" w:cstheme="majorEastAsia"/>
                <w:sz w:val="18"/>
                <w:szCs w:val="18"/>
                <w:lang w:val="en-US" w:eastAsia="zh-CN"/>
              </w:rPr>
              <w:t>0</w:t>
            </w:r>
            <w:r>
              <w:rPr>
                <w:rFonts w:hint="eastAsia" w:asciiTheme="majorEastAsia" w:hAnsiTheme="majorEastAsia" w:eastAsiaTheme="majorEastAsia" w:cstheme="majorEastAsia"/>
                <w:sz w:val="18"/>
                <w:szCs w:val="18"/>
              </w:rPr>
              <w:t>分</w:t>
            </w:r>
          </w:p>
        </w:tc>
        <w:tc>
          <w:tcPr>
            <w:tcW w:w="3149" w:type="pct"/>
            <w:tcMar>
              <w:top w:w="60" w:type="dxa"/>
              <w:left w:w="120" w:type="dxa"/>
              <w:bottom w:w="30" w:type="dxa"/>
              <w:right w:w="120" w:type="dxa"/>
            </w:tcMar>
            <w:vAlign w:val="center"/>
          </w:tcPr>
          <w:p w14:paraId="1C911350">
            <w:pPr>
              <w:pStyle w:val="16"/>
              <w:jc w:val="both"/>
              <w:rPr>
                <w:rFonts w:hint="eastAsia" w:asciiTheme="majorEastAsia" w:hAnsiTheme="majorEastAsia" w:eastAsiaTheme="majorEastAsia" w:cstheme="majorEastAsia"/>
                <w:sz w:val="18"/>
                <w:szCs w:val="18"/>
                <w:lang w:val="en-US"/>
              </w:rPr>
            </w:pPr>
            <w:r>
              <w:rPr>
                <w:rFonts w:hint="eastAsia" w:asciiTheme="majorEastAsia" w:hAnsiTheme="majorEastAsia" w:eastAsiaTheme="majorEastAsia" w:cstheme="majorEastAsia"/>
                <w:sz w:val="18"/>
                <w:szCs w:val="18"/>
              </w:rPr>
              <w:t>近</w:t>
            </w:r>
            <w:r>
              <w:rPr>
                <w:rFonts w:hint="eastAsia" w:asciiTheme="majorEastAsia" w:hAnsiTheme="majorEastAsia" w:eastAsiaTheme="majorEastAsia" w:cstheme="majorEastAsia"/>
                <w:sz w:val="18"/>
                <w:szCs w:val="18"/>
                <w:lang w:eastAsia="zh-CN"/>
              </w:rPr>
              <w:t>三</w:t>
            </w:r>
            <w:r>
              <w:rPr>
                <w:rFonts w:hint="eastAsia" w:asciiTheme="majorEastAsia" w:hAnsiTheme="majorEastAsia" w:eastAsiaTheme="majorEastAsia" w:cstheme="majorEastAsia"/>
                <w:sz w:val="18"/>
                <w:szCs w:val="18"/>
              </w:rPr>
              <w:t>年内无代理业务相关行政处罚、重大诉讼纠纷等不良记录</w:t>
            </w:r>
            <w:r>
              <w:rPr>
                <w:rFonts w:hint="eastAsia" w:asciiTheme="majorEastAsia" w:hAnsiTheme="majorEastAsia" w:eastAsiaTheme="majorEastAsia" w:cstheme="majorEastAsia"/>
                <w:sz w:val="18"/>
                <w:szCs w:val="18"/>
                <w:lang w:eastAsia="zh-CN"/>
              </w:rPr>
              <w:t>（提供承诺书，格式自拟）得</w:t>
            </w:r>
            <w:r>
              <w:rPr>
                <w:rFonts w:hint="eastAsia" w:asciiTheme="majorEastAsia" w:hAnsiTheme="majorEastAsia" w:eastAsiaTheme="majorEastAsia" w:cstheme="majorEastAsia"/>
                <w:sz w:val="18"/>
                <w:szCs w:val="18"/>
                <w:lang w:val="en-US" w:eastAsia="zh-CN"/>
              </w:rPr>
              <w:t>10分。</w:t>
            </w:r>
          </w:p>
        </w:tc>
        <w:tc>
          <w:tcPr>
            <w:tcW w:w="396" w:type="pct"/>
            <w:tcMar>
              <w:top w:w="60" w:type="dxa"/>
              <w:left w:w="120" w:type="dxa"/>
              <w:bottom w:w="30" w:type="dxa"/>
              <w:right w:w="120" w:type="dxa"/>
            </w:tcMar>
            <w:vAlign w:val="center"/>
          </w:tcPr>
          <w:p w14:paraId="43C7DEFA">
            <w:pPr>
              <w:pStyle w:val="16"/>
              <w:jc w:val="center"/>
              <w:rPr>
                <w:rFonts w:hint="eastAsia" w:asciiTheme="majorEastAsia" w:hAnsiTheme="majorEastAsia" w:eastAsiaTheme="majorEastAsia" w:cstheme="majorEastAsia"/>
                <w:sz w:val="18"/>
                <w:szCs w:val="18"/>
              </w:rPr>
            </w:pPr>
          </w:p>
        </w:tc>
      </w:tr>
      <w:tr w14:paraId="39A7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8" w:hRule="atLeast"/>
        </w:trPr>
        <w:tc>
          <w:tcPr>
            <w:tcW w:w="506" w:type="pct"/>
            <w:vMerge w:val="restart"/>
            <w:tcBorders>
              <w:left w:val="single" w:color="000000" w:sz="4" w:space="0"/>
              <w:right w:val="single" w:color="000000" w:sz="4" w:space="0"/>
            </w:tcBorders>
            <w:tcMar>
              <w:top w:w="60" w:type="dxa"/>
              <w:left w:w="120" w:type="dxa"/>
              <w:bottom w:w="30" w:type="dxa"/>
              <w:right w:w="120" w:type="dxa"/>
            </w:tcMar>
            <w:vAlign w:val="center"/>
          </w:tcPr>
          <w:p w14:paraId="5A04099F">
            <w:pPr>
              <w:pStyle w:val="16"/>
              <w:jc w:val="center"/>
              <w:rPr>
                <w:rFonts w:hint="eastAsia" w:asciiTheme="majorEastAsia" w:hAnsiTheme="majorEastAsia" w:eastAsiaTheme="majorEastAsia" w:cstheme="majorEastAsia"/>
                <w:b w:val="0"/>
                <w:bCs w:val="0"/>
                <w:sz w:val="18"/>
                <w:szCs w:val="18"/>
                <w:lang w:val="en-US" w:eastAsia="zh-CN"/>
              </w:rPr>
            </w:pPr>
            <w:r>
              <w:rPr>
                <w:rFonts w:hint="eastAsia" w:asciiTheme="majorEastAsia" w:hAnsiTheme="majorEastAsia" w:eastAsiaTheme="majorEastAsia" w:cstheme="majorEastAsia"/>
                <w:b w:val="0"/>
                <w:bCs w:val="0"/>
                <w:sz w:val="18"/>
                <w:szCs w:val="18"/>
                <w:lang w:eastAsia="zh-CN"/>
              </w:rPr>
              <w:t>综合标</w:t>
            </w:r>
            <w:r>
              <w:rPr>
                <w:rFonts w:hint="eastAsia" w:asciiTheme="majorEastAsia" w:hAnsiTheme="majorEastAsia" w:eastAsiaTheme="majorEastAsia" w:cstheme="majorEastAsia"/>
                <w:b w:val="0"/>
                <w:bCs w:val="0"/>
                <w:sz w:val="18"/>
                <w:szCs w:val="18"/>
                <w:lang w:val="en-US" w:eastAsia="zh-CN"/>
              </w:rPr>
              <w:t>30分</w:t>
            </w:r>
          </w:p>
        </w:tc>
        <w:tc>
          <w:tcPr>
            <w:tcW w:w="392" w:type="pct"/>
            <w:tcBorders>
              <w:left w:val="single" w:color="000000" w:sz="4" w:space="0"/>
            </w:tcBorders>
            <w:tcMar>
              <w:top w:w="60" w:type="dxa"/>
              <w:left w:w="120" w:type="dxa"/>
              <w:bottom w:w="30" w:type="dxa"/>
              <w:right w:w="120" w:type="dxa"/>
            </w:tcMar>
            <w:vAlign w:val="center"/>
          </w:tcPr>
          <w:p w14:paraId="598EC5E6">
            <w:pPr>
              <w:pStyle w:val="16"/>
              <w:jc w:val="cente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类似业绩</w:t>
            </w:r>
          </w:p>
        </w:tc>
        <w:tc>
          <w:tcPr>
            <w:tcW w:w="553" w:type="pct"/>
            <w:tcMar>
              <w:top w:w="60" w:type="dxa"/>
              <w:left w:w="120" w:type="dxa"/>
              <w:bottom w:w="30" w:type="dxa"/>
              <w:right w:w="120" w:type="dxa"/>
            </w:tcMar>
            <w:vAlign w:val="center"/>
          </w:tcPr>
          <w:p w14:paraId="595A8D50">
            <w:pPr>
              <w:pStyle w:val="16"/>
              <w:jc w:val="center"/>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1</w:t>
            </w:r>
            <w:r>
              <w:rPr>
                <w:rFonts w:hint="eastAsia" w:asciiTheme="majorEastAsia" w:hAnsiTheme="majorEastAsia" w:eastAsiaTheme="majorEastAsia" w:cstheme="majorEastAsia"/>
                <w:sz w:val="18"/>
                <w:szCs w:val="18"/>
                <w:lang w:val="en-US" w:eastAsia="zh-CN"/>
              </w:rPr>
              <w:t>5</w:t>
            </w:r>
            <w:r>
              <w:rPr>
                <w:rFonts w:hint="eastAsia" w:asciiTheme="majorEastAsia" w:hAnsiTheme="majorEastAsia" w:eastAsiaTheme="majorEastAsia" w:cstheme="majorEastAsia"/>
                <w:sz w:val="18"/>
                <w:szCs w:val="18"/>
              </w:rPr>
              <w:t>分</w:t>
            </w:r>
          </w:p>
        </w:tc>
        <w:tc>
          <w:tcPr>
            <w:tcW w:w="3149" w:type="pct"/>
            <w:tcMar>
              <w:top w:w="60" w:type="dxa"/>
              <w:left w:w="120" w:type="dxa"/>
              <w:bottom w:w="30" w:type="dxa"/>
              <w:right w:w="120" w:type="dxa"/>
            </w:tcMar>
            <w:vAlign w:val="center"/>
          </w:tcPr>
          <w:p w14:paraId="346B7BC4">
            <w:pPr>
              <w:pStyle w:val="16"/>
              <w:jc w:val="both"/>
              <w:rPr>
                <w:rFonts w:hint="eastAsia" w:asciiTheme="majorEastAsia" w:hAnsiTheme="majorEastAsia" w:eastAsiaTheme="majorEastAsia" w:cstheme="majorEastAsia"/>
                <w:sz w:val="18"/>
                <w:szCs w:val="18"/>
                <w:lang w:val="en-US" w:eastAsia="zh-CN"/>
              </w:rPr>
            </w:pPr>
            <w:r>
              <w:rPr>
                <w:rFonts w:hint="eastAsia" w:asciiTheme="majorEastAsia" w:hAnsiTheme="majorEastAsia" w:eastAsiaTheme="majorEastAsia" w:cstheme="majorEastAsia"/>
                <w:sz w:val="18"/>
                <w:szCs w:val="18"/>
              </w:rPr>
              <w:t>近</w:t>
            </w:r>
            <w:r>
              <w:rPr>
                <w:rFonts w:hint="eastAsia" w:asciiTheme="majorEastAsia" w:hAnsiTheme="majorEastAsia" w:eastAsiaTheme="majorEastAsia" w:cstheme="majorEastAsia"/>
                <w:sz w:val="18"/>
                <w:szCs w:val="18"/>
                <w:lang w:val="en-US" w:eastAsia="zh-CN"/>
              </w:rPr>
              <w:t>2024年1月1日以来</w:t>
            </w:r>
            <w:r>
              <w:rPr>
                <w:rFonts w:hint="eastAsia" w:asciiTheme="majorEastAsia" w:hAnsiTheme="majorEastAsia" w:eastAsiaTheme="majorEastAsia" w:cstheme="majorEastAsia"/>
                <w:sz w:val="18"/>
                <w:szCs w:val="18"/>
                <w:lang w:eastAsia="zh-CN"/>
              </w:rPr>
              <w:t>的</w:t>
            </w:r>
            <w:r>
              <w:rPr>
                <w:rFonts w:hint="eastAsia" w:asciiTheme="majorEastAsia" w:hAnsiTheme="majorEastAsia" w:eastAsiaTheme="majorEastAsia" w:cstheme="majorEastAsia"/>
                <w:sz w:val="18"/>
                <w:szCs w:val="18"/>
              </w:rPr>
              <w:t>工程或政府采购代理业绩（提供代理合同、公告截图等佐证材料）</w:t>
            </w:r>
            <w:r>
              <w:rPr>
                <w:rFonts w:hint="eastAsia" w:asciiTheme="majorEastAsia" w:hAnsiTheme="majorEastAsia" w:eastAsiaTheme="majorEastAsia" w:cstheme="majorEastAsia"/>
                <w:sz w:val="18"/>
                <w:szCs w:val="18"/>
                <w:lang w:eastAsia="zh-CN"/>
              </w:rPr>
              <w:t>，一个业绩得</w:t>
            </w:r>
            <w:r>
              <w:rPr>
                <w:rFonts w:hint="eastAsia" w:asciiTheme="majorEastAsia" w:hAnsiTheme="majorEastAsia" w:eastAsiaTheme="majorEastAsia" w:cstheme="majorEastAsia"/>
                <w:sz w:val="18"/>
                <w:szCs w:val="18"/>
                <w:lang w:val="en-US" w:eastAsia="zh-CN"/>
              </w:rPr>
              <w:t>3分，最高得15分。</w:t>
            </w:r>
          </w:p>
        </w:tc>
        <w:tc>
          <w:tcPr>
            <w:tcW w:w="396" w:type="pct"/>
            <w:tcMar>
              <w:top w:w="60" w:type="dxa"/>
              <w:left w:w="120" w:type="dxa"/>
              <w:bottom w:w="30" w:type="dxa"/>
              <w:right w:w="120" w:type="dxa"/>
            </w:tcMar>
            <w:vAlign w:val="center"/>
          </w:tcPr>
          <w:p w14:paraId="17C117B0">
            <w:pPr>
              <w:pStyle w:val="16"/>
              <w:jc w:val="center"/>
              <w:rPr>
                <w:rFonts w:hint="eastAsia" w:asciiTheme="majorEastAsia" w:hAnsiTheme="majorEastAsia" w:eastAsiaTheme="majorEastAsia" w:cstheme="majorEastAsia"/>
                <w:sz w:val="18"/>
                <w:szCs w:val="18"/>
              </w:rPr>
            </w:pPr>
          </w:p>
        </w:tc>
      </w:tr>
      <w:tr w14:paraId="0EE3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83" w:hRule="atLeast"/>
        </w:trPr>
        <w:tc>
          <w:tcPr>
            <w:tcW w:w="506" w:type="pct"/>
            <w:vMerge w:val="continue"/>
            <w:tcBorders>
              <w:left w:val="single" w:color="000000" w:sz="4" w:space="0"/>
              <w:right w:val="single" w:color="000000" w:sz="4" w:space="0"/>
            </w:tcBorders>
            <w:tcMar>
              <w:top w:w="60" w:type="dxa"/>
              <w:left w:w="120" w:type="dxa"/>
              <w:bottom w:w="30" w:type="dxa"/>
              <w:right w:w="120" w:type="dxa"/>
            </w:tcMar>
            <w:vAlign w:val="center"/>
          </w:tcPr>
          <w:p w14:paraId="3F4CD91B">
            <w:pPr>
              <w:pStyle w:val="16"/>
              <w:jc w:val="center"/>
              <w:rPr>
                <w:rFonts w:hint="eastAsia" w:asciiTheme="majorEastAsia" w:hAnsiTheme="majorEastAsia" w:eastAsiaTheme="majorEastAsia" w:cstheme="majorEastAsia"/>
                <w:b w:val="0"/>
                <w:bCs w:val="0"/>
                <w:sz w:val="18"/>
                <w:szCs w:val="18"/>
              </w:rPr>
            </w:pPr>
          </w:p>
        </w:tc>
        <w:tc>
          <w:tcPr>
            <w:tcW w:w="392" w:type="pct"/>
            <w:tcMar>
              <w:top w:w="60" w:type="dxa"/>
              <w:left w:w="120" w:type="dxa"/>
              <w:bottom w:w="30" w:type="dxa"/>
              <w:right w:w="120" w:type="dxa"/>
            </w:tcMar>
            <w:vAlign w:val="center"/>
          </w:tcPr>
          <w:p w14:paraId="496AB01B">
            <w:pPr>
              <w:pStyle w:val="16"/>
              <w:jc w:val="cente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服务实施方案</w:t>
            </w:r>
          </w:p>
        </w:tc>
        <w:tc>
          <w:tcPr>
            <w:tcW w:w="553" w:type="pct"/>
            <w:tcMar>
              <w:top w:w="60" w:type="dxa"/>
              <w:left w:w="120" w:type="dxa"/>
              <w:bottom w:w="30" w:type="dxa"/>
              <w:right w:w="120" w:type="dxa"/>
            </w:tcMar>
            <w:vAlign w:val="center"/>
          </w:tcPr>
          <w:p w14:paraId="0158F5F7">
            <w:pPr>
              <w:pStyle w:val="16"/>
              <w:jc w:val="center"/>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1</w:t>
            </w:r>
            <w:r>
              <w:rPr>
                <w:rFonts w:hint="eastAsia" w:asciiTheme="majorEastAsia" w:hAnsiTheme="majorEastAsia" w:eastAsiaTheme="majorEastAsia" w:cstheme="majorEastAsia"/>
                <w:sz w:val="18"/>
                <w:szCs w:val="18"/>
                <w:lang w:val="en-US" w:eastAsia="zh-CN"/>
              </w:rPr>
              <w:t>0</w:t>
            </w:r>
            <w:r>
              <w:rPr>
                <w:rFonts w:hint="eastAsia" w:asciiTheme="majorEastAsia" w:hAnsiTheme="majorEastAsia" w:eastAsiaTheme="majorEastAsia" w:cstheme="majorEastAsia"/>
                <w:sz w:val="18"/>
                <w:szCs w:val="18"/>
              </w:rPr>
              <w:t>分</w:t>
            </w:r>
          </w:p>
        </w:tc>
        <w:tc>
          <w:tcPr>
            <w:tcW w:w="3149" w:type="pct"/>
            <w:tcMar>
              <w:top w:w="60" w:type="dxa"/>
              <w:left w:w="120" w:type="dxa"/>
              <w:bottom w:w="30" w:type="dxa"/>
              <w:right w:w="120" w:type="dxa"/>
            </w:tcMar>
            <w:vAlign w:val="center"/>
          </w:tcPr>
          <w:p w14:paraId="6B61C4B7">
            <w:pPr>
              <w:pStyle w:val="16"/>
              <w:jc w:val="both"/>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①工作流程清晰（报名→开标→评标→公示→归档全流程）</w:t>
            </w: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分；②针对学校项目的风险防控、答疑异议处理方案</w:t>
            </w:r>
            <w:r>
              <w:rPr>
                <w:rFonts w:hint="eastAsia" w:asciiTheme="majorEastAsia" w:hAnsiTheme="majorEastAsia" w:eastAsiaTheme="majorEastAsia" w:cstheme="majorEastAsia"/>
                <w:sz w:val="18"/>
                <w:szCs w:val="18"/>
                <w:lang w:val="en-US" w:eastAsia="zh-CN"/>
              </w:rPr>
              <w:t>2</w:t>
            </w:r>
            <w:r>
              <w:rPr>
                <w:rFonts w:hint="eastAsia" w:asciiTheme="majorEastAsia" w:hAnsiTheme="majorEastAsia" w:eastAsiaTheme="majorEastAsia" w:cstheme="majorEastAsia"/>
                <w:sz w:val="18"/>
                <w:szCs w:val="18"/>
              </w:rPr>
              <w:t>分；③档案归集、资料移交、全过程留痕方案</w:t>
            </w:r>
            <w:r>
              <w:rPr>
                <w:rFonts w:hint="eastAsia" w:asciiTheme="majorEastAsia" w:hAnsiTheme="majorEastAsia" w:eastAsiaTheme="majorEastAsia" w:cstheme="majorEastAsia"/>
                <w:sz w:val="18"/>
                <w:szCs w:val="18"/>
                <w:lang w:val="en-US" w:eastAsia="zh-CN"/>
              </w:rPr>
              <w:t>2</w:t>
            </w:r>
            <w:r>
              <w:rPr>
                <w:rFonts w:hint="eastAsia" w:asciiTheme="majorEastAsia" w:hAnsiTheme="majorEastAsia" w:eastAsiaTheme="majorEastAsia" w:cstheme="majorEastAsia"/>
                <w:sz w:val="18"/>
                <w:szCs w:val="18"/>
              </w:rPr>
              <w:t>分；④应急处置方案（开标故障、质疑投诉、节假日加急项目）</w:t>
            </w: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分</w:t>
            </w:r>
            <w:r>
              <w:rPr>
                <w:rFonts w:hint="eastAsia" w:asciiTheme="majorEastAsia" w:hAnsiTheme="majorEastAsia" w:eastAsiaTheme="majorEastAsia" w:cstheme="majorEastAsia"/>
                <w:sz w:val="18"/>
                <w:szCs w:val="18"/>
                <w:lang w:eastAsia="zh-CN"/>
              </w:rPr>
              <w:t>。</w:t>
            </w:r>
            <w:r>
              <w:rPr>
                <w:rFonts w:hint="eastAsia" w:asciiTheme="majorEastAsia" w:hAnsiTheme="majorEastAsia" w:eastAsiaTheme="majorEastAsia" w:cstheme="majorEastAsia"/>
                <w:sz w:val="18"/>
                <w:szCs w:val="18"/>
              </w:rPr>
              <w:t>方案简单空洞、无针对性</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rPr>
              <w:t>0‑</w:t>
            </w: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分；较完善</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lang w:val="en-US" w:eastAsia="zh-CN"/>
              </w:rPr>
              <w:t>4</w:t>
            </w:r>
            <w:r>
              <w:rPr>
                <w:rFonts w:hint="eastAsia" w:asciiTheme="majorEastAsia" w:hAnsiTheme="majorEastAsia" w:eastAsiaTheme="majorEastAsia" w:cstheme="majorEastAsia"/>
                <w:sz w:val="18"/>
                <w:szCs w:val="18"/>
              </w:rPr>
              <w:t>‑</w:t>
            </w:r>
            <w:r>
              <w:rPr>
                <w:rFonts w:hint="eastAsia" w:asciiTheme="majorEastAsia" w:hAnsiTheme="majorEastAsia" w:eastAsiaTheme="majorEastAsia" w:cstheme="majorEastAsia"/>
                <w:sz w:val="18"/>
                <w:szCs w:val="18"/>
                <w:lang w:val="en-US" w:eastAsia="zh-CN"/>
              </w:rPr>
              <w:t>6</w:t>
            </w:r>
            <w:r>
              <w:rPr>
                <w:rFonts w:hint="eastAsia" w:asciiTheme="majorEastAsia" w:hAnsiTheme="majorEastAsia" w:eastAsiaTheme="majorEastAsia" w:cstheme="majorEastAsia"/>
                <w:sz w:val="18"/>
                <w:szCs w:val="18"/>
              </w:rPr>
              <w:t>分；详实贴合学校实际</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lang w:val="en-US" w:eastAsia="zh-CN"/>
              </w:rPr>
              <w:t>7</w:t>
            </w:r>
            <w:r>
              <w:rPr>
                <w:rFonts w:hint="eastAsia" w:asciiTheme="majorEastAsia" w:hAnsiTheme="majorEastAsia" w:eastAsiaTheme="majorEastAsia" w:cstheme="majorEastAsia"/>
                <w:sz w:val="18"/>
                <w:szCs w:val="18"/>
              </w:rPr>
              <w:t>‑1</w:t>
            </w:r>
            <w:r>
              <w:rPr>
                <w:rFonts w:hint="eastAsia" w:asciiTheme="majorEastAsia" w:hAnsiTheme="majorEastAsia" w:eastAsiaTheme="majorEastAsia" w:cstheme="majorEastAsia"/>
                <w:sz w:val="18"/>
                <w:szCs w:val="18"/>
                <w:lang w:val="en-US" w:eastAsia="zh-CN"/>
              </w:rPr>
              <w:t>0</w:t>
            </w:r>
            <w:r>
              <w:rPr>
                <w:rFonts w:hint="eastAsia" w:asciiTheme="majorEastAsia" w:hAnsiTheme="majorEastAsia" w:eastAsiaTheme="majorEastAsia" w:cstheme="majorEastAsia"/>
                <w:sz w:val="18"/>
                <w:szCs w:val="18"/>
              </w:rPr>
              <w:t>分。</w:t>
            </w:r>
          </w:p>
        </w:tc>
        <w:tc>
          <w:tcPr>
            <w:tcW w:w="396" w:type="pct"/>
            <w:tcMar>
              <w:top w:w="60" w:type="dxa"/>
              <w:left w:w="120" w:type="dxa"/>
              <w:bottom w:w="30" w:type="dxa"/>
              <w:right w:w="120" w:type="dxa"/>
            </w:tcMar>
            <w:vAlign w:val="center"/>
          </w:tcPr>
          <w:p w14:paraId="3CF42400">
            <w:pPr>
              <w:pStyle w:val="16"/>
              <w:jc w:val="center"/>
              <w:rPr>
                <w:rFonts w:hint="eastAsia" w:asciiTheme="majorEastAsia" w:hAnsiTheme="majorEastAsia" w:eastAsiaTheme="majorEastAsia" w:cstheme="majorEastAsia"/>
                <w:sz w:val="18"/>
                <w:szCs w:val="18"/>
              </w:rPr>
            </w:pPr>
          </w:p>
        </w:tc>
      </w:tr>
      <w:tr w14:paraId="5E1B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47" w:hRule="atLeast"/>
        </w:trPr>
        <w:tc>
          <w:tcPr>
            <w:tcW w:w="506" w:type="pct"/>
            <w:vMerge w:val="continue"/>
            <w:tcBorders>
              <w:left w:val="single" w:color="000000" w:sz="4" w:space="0"/>
              <w:right w:val="single" w:color="000000" w:sz="4" w:space="0"/>
            </w:tcBorders>
            <w:tcMar>
              <w:top w:w="60" w:type="dxa"/>
              <w:left w:w="120" w:type="dxa"/>
              <w:bottom w:w="30" w:type="dxa"/>
              <w:right w:w="120" w:type="dxa"/>
            </w:tcMar>
            <w:vAlign w:val="center"/>
          </w:tcPr>
          <w:p w14:paraId="08F8264D">
            <w:pPr>
              <w:pStyle w:val="16"/>
              <w:jc w:val="center"/>
              <w:rPr>
                <w:rFonts w:hint="eastAsia" w:asciiTheme="majorEastAsia" w:hAnsiTheme="majorEastAsia" w:eastAsiaTheme="majorEastAsia" w:cstheme="majorEastAsia"/>
                <w:b w:val="0"/>
                <w:bCs w:val="0"/>
                <w:sz w:val="18"/>
                <w:szCs w:val="18"/>
              </w:rPr>
            </w:pPr>
          </w:p>
        </w:tc>
        <w:tc>
          <w:tcPr>
            <w:tcW w:w="392" w:type="pct"/>
            <w:tcMar>
              <w:top w:w="60" w:type="dxa"/>
              <w:left w:w="120" w:type="dxa"/>
              <w:bottom w:w="30" w:type="dxa"/>
              <w:right w:w="120" w:type="dxa"/>
            </w:tcMar>
            <w:vAlign w:val="center"/>
          </w:tcPr>
          <w:p w14:paraId="25603FC0">
            <w:pPr>
              <w:pStyle w:val="16"/>
              <w:jc w:val="cente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服务承诺</w:t>
            </w:r>
          </w:p>
        </w:tc>
        <w:tc>
          <w:tcPr>
            <w:tcW w:w="553" w:type="pct"/>
            <w:tcMar>
              <w:top w:w="60" w:type="dxa"/>
              <w:left w:w="120" w:type="dxa"/>
              <w:bottom w:w="30" w:type="dxa"/>
              <w:right w:w="120" w:type="dxa"/>
            </w:tcMar>
            <w:vAlign w:val="center"/>
          </w:tcPr>
          <w:p w14:paraId="59E877B4">
            <w:pPr>
              <w:pStyle w:val="16"/>
              <w:jc w:val="center"/>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lang w:val="en-US" w:eastAsia="zh-CN"/>
              </w:rPr>
              <w:t>5</w:t>
            </w:r>
            <w:r>
              <w:rPr>
                <w:rFonts w:hint="eastAsia" w:asciiTheme="majorEastAsia" w:hAnsiTheme="majorEastAsia" w:eastAsiaTheme="majorEastAsia" w:cstheme="majorEastAsia"/>
                <w:sz w:val="18"/>
                <w:szCs w:val="18"/>
              </w:rPr>
              <w:t>分</w:t>
            </w:r>
          </w:p>
        </w:tc>
        <w:tc>
          <w:tcPr>
            <w:tcW w:w="3149" w:type="pct"/>
            <w:tcMar>
              <w:top w:w="60" w:type="dxa"/>
              <w:left w:w="120" w:type="dxa"/>
              <w:bottom w:w="30" w:type="dxa"/>
              <w:right w:w="120" w:type="dxa"/>
            </w:tcMar>
            <w:vAlign w:val="center"/>
          </w:tcPr>
          <w:p w14:paraId="56633CCB">
            <w:pPr>
              <w:pStyle w:val="16"/>
              <w:jc w:val="both"/>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①承诺专人对接、限时响应（工作日2小时内、非工作日应急4小时内）</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rPr>
              <w:t>2分；②承诺免费提供政策咨询、业务指导、资料初审</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lang w:val="en-US" w:eastAsia="zh-CN"/>
              </w:rPr>
              <w:t>1</w:t>
            </w:r>
            <w:r>
              <w:rPr>
                <w:rFonts w:hint="eastAsia" w:asciiTheme="majorEastAsia" w:hAnsiTheme="majorEastAsia" w:eastAsiaTheme="majorEastAsia" w:cstheme="majorEastAsia"/>
                <w:sz w:val="18"/>
                <w:szCs w:val="18"/>
              </w:rPr>
              <w:t>分；③承诺严格保</w:t>
            </w:r>
            <w:r>
              <w:rPr>
                <w:rFonts w:hint="eastAsia" w:asciiTheme="majorEastAsia" w:hAnsiTheme="majorEastAsia" w:eastAsiaTheme="majorEastAsia" w:cstheme="majorEastAsia"/>
                <w:sz w:val="18"/>
                <w:szCs w:val="18"/>
                <w:lang w:eastAsia="zh-CN"/>
              </w:rPr>
              <w:t>密</w:t>
            </w:r>
            <w:r>
              <w:rPr>
                <w:rFonts w:hint="eastAsia" w:asciiTheme="majorEastAsia" w:hAnsiTheme="majorEastAsia" w:eastAsiaTheme="majorEastAsia" w:cstheme="majorEastAsia"/>
                <w:sz w:val="18"/>
                <w:szCs w:val="18"/>
              </w:rPr>
              <w:t>学校项目信息</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lang w:val="en-US" w:eastAsia="zh-CN"/>
              </w:rPr>
              <w:t>1</w:t>
            </w:r>
            <w:r>
              <w:rPr>
                <w:rFonts w:hint="eastAsia" w:asciiTheme="majorEastAsia" w:hAnsiTheme="majorEastAsia" w:eastAsiaTheme="majorEastAsia" w:cstheme="majorEastAsia"/>
                <w:sz w:val="18"/>
                <w:szCs w:val="18"/>
              </w:rPr>
              <w:t>分；④承诺出现代理过错主动承担相应责任</w:t>
            </w:r>
            <w:r>
              <w:rPr>
                <w:rFonts w:hint="eastAsia" w:asciiTheme="majorEastAsia" w:hAnsiTheme="majorEastAsia" w:eastAsiaTheme="majorEastAsia" w:cstheme="majorEastAsia"/>
                <w:sz w:val="18"/>
                <w:szCs w:val="18"/>
                <w:lang w:eastAsia="zh-CN"/>
              </w:rPr>
              <w:t>得</w:t>
            </w:r>
            <w:r>
              <w:rPr>
                <w:rFonts w:hint="eastAsia" w:asciiTheme="majorEastAsia" w:hAnsiTheme="majorEastAsia" w:eastAsiaTheme="majorEastAsia" w:cstheme="majorEastAsia"/>
                <w:sz w:val="18"/>
                <w:szCs w:val="18"/>
              </w:rPr>
              <w:t>分</w:t>
            </w:r>
            <w:r>
              <w:rPr>
                <w:rFonts w:hint="eastAsia" w:asciiTheme="majorEastAsia" w:hAnsiTheme="majorEastAsia" w:eastAsiaTheme="majorEastAsia" w:cstheme="majorEastAsia"/>
                <w:sz w:val="18"/>
                <w:szCs w:val="18"/>
                <w:lang w:eastAsia="zh-CN"/>
              </w:rPr>
              <w:t>，最</w:t>
            </w:r>
            <w:r>
              <w:rPr>
                <w:rFonts w:hint="eastAsia" w:asciiTheme="majorEastAsia" w:hAnsiTheme="majorEastAsia" w:eastAsiaTheme="majorEastAsia" w:cstheme="majorEastAsia"/>
                <w:sz w:val="18"/>
                <w:szCs w:val="18"/>
              </w:rPr>
              <w:t>高</w:t>
            </w:r>
            <w:r>
              <w:rPr>
                <w:rFonts w:hint="eastAsia" w:asciiTheme="majorEastAsia" w:hAnsiTheme="majorEastAsia" w:eastAsiaTheme="majorEastAsia" w:cstheme="majorEastAsia"/>
                <w:sz w:val="18"/>
                <w:szCs w:val="18"/>
                <w:lang w:val="en-US" w:eastAsia="zh-CN"/>
              </w:rPr>
              <w:t>5</w:t>
            </w:r>
            <w:r>
              <w:rPr>
                <w:rFonts w:hint="eastAsia" w:asciiTheme="majorEastAsia" w:hAnsiTheme="majorEastAsia" w:eastAsiaTheme="majorEastAsia" w:cstheme="majorEastAsia"/>
                <w:sz w:val="18"/>
                <w:szCs w:val="18"/>
              </w:rPr>
              <w:t>分。</w:t>
            </w:r>
          </w:p>
        </w:tc>
        <w:tc>
          <w:tcPr>
            <w:tcW w:w="396" w:type="pct"/>
            <w:tcMar>
              <w:top w:w="60" w:type="dxa"/>
              <w:left w:w="120" w:type="dxa"/>
              <w:bottom w:w="30" w:type="dxa"/>
              <w:right w:w="120" w:type="dxa"/>
            </w:tcMar>
            <w:vAlign w:val="center"/>
          </w:tcPr>
          <w:p w14:paraId="15BC72CB">
            <w:pPr>
              <w:pStyle w:val="16"/>
              <w:jc w:val="center"/>
              <w:rPr>
                <w:rFonts w:hint="eastAsia" w:asciiTheme="majorEastAsia" w:hAnsiTheme="majorEastAsia" w:eastAsiaTheme="majorEastAsia" w:cstheme="majorEastAsia"/>
                <w:sz w:val="18"/>
                <w:szCs w:val="18"/>
              </w:rPr>
            </w:pPr>
          </w:p>
        </w:tc>
      </w:tr>
      <w:tr w14:paraId="28F9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7" w:hRule="atLeast"/>
        </w:trPr>
        <w:tc>
          <w:tcPr>
            <w:tcW w:w="506" w:type="pct"/>
            <w:tcMar>
              <w:top w:w="60" w:type="dxa"/>
              <w:left w:w="120" w:type="dxa"/>
              <w:bottom w:w="30" w:type="dxa"/>
              <w:right w:w="120" w:type="dxa"/>
            </w:tcMar>
            <w:vAlign w:val="center"/>
          </w:tcPr>
          <w:p w14:paraId="67BCE80D">
            <w:pPr>
              <w:jc w:val="center"/>
              <w:rPr>
                <w:rFonts w:hint="eastAsia" w:asciiTheme="majorEastAsia" w:hAnsiTheme="majorEastAsia" w:eastAsiaTheme="majorEastAsia" w:cstheme="majorEastAsia"/>
                <w:b w:val="0"/>
                <w:bCs w:val="0"/>
                <w:sz w:val="18"/>
                <w:szCs w:val="18"/>
              </w:rPr>
            </w:pPr>
          </w:p>
        </w:tc>
        <w:tc>
          <w:tcPr>
            <w:tcW w:w="392" w:type="pct"/>
            <w:tcMar>
              <w:top w:w="60" w:type="dxa"/>
              <w:left w:w="120" w:type="dxa"/>
              <w:bottom w:w="30" w:type="dxa"/>
              <w:right w:w="120" w:type="dxa"/>
            </w:tcMar>
            <w:vAlign w:val="center"/>
          </w:tcPr>
          <w:p w14:paraId="602287FB">
            <w:pPr>
              <w:rPr>
                <w:rFonts w:hint="eastAsia" w:asciiTheme="majorEastAsia" w:hAnsiTheme="majorEastAsia" w:eastAsiaTheme="majorEastAsia" w:cstheme="majorEastAsia"/>
                <w:b w:val="0"/>
                <w:bCs w:val="0"/>
                <w:sz w:val="18"/>
                <w:szCs w:val="18"/>
              </w:rPr>
            </w:pPr>
            <w:r>
              <w:rPr>
                <w:rFonts w:hint="eastAsia" w:asciiTheme="majorEastAsia" w:hAnsiTheme="majorEastAsia" w:eastAsiaTheme="majorEastAsia" w:cstheme="majorEastAsia"/>
                <w:b w:val="0"/>
                <w:bCs w:val="0"/>
                <w:sz w:val="18"/>
                <w:szCs w:val="18"/>
              </w:rPr>
              <w:t>合计</w:t>
            </w:r>
          </w:p>
        </w:tc>
        <w:tc>
          <w:tcPr>
            <w:tcW w:w="553" w:type="pct"/>
            <w:tcMar>
              <w:top w:w="60" w:type="dxa"/>
              <w:left w:w="120" w:type="dxa"/>
              <w:bottom w:w="30" w:type="dxa"/>
              <w:right w:w="120" w:type="dxa"/>
            </w:tcMar>
            <w:vAlign w:val="center"/>
          </w:tcPr>
          <w:p w14:paraId="49260FBB">
            <w:pPr>
              <w:rPr>
                <w:rFonts w:hint="eastAsia" w:asciiTheme="majorEastAsia" w:hAnsiTheme="majorEastAsia" w:eastAsiaTheme="majorEastAsia" w:cstheme="majorEastAsia"/>
                <w:sz w:val="18"/>
                <w:szCs w:val="18"/>
              </w:rPr>
            </w:pPr>
            <w:r>
              <w:rPr>
                <w:rFonts w:hint="eastAsia" w:asciiTheme="majorEastAsia" w:hAnsiTheme="majorEastAsia" w:eastAsiaTheme="majorEastAsia" w:cstheme="majorEastAsia"/>
                <w:sz w:val="18"/>
                <w:szCs w:val="18"/>
              </w:rPr>
              <w:t>100分</w:t>
            </w:r>
          </w:p>
        </w:tc>
        <w:tc>
          <w:tcPr>
            <w:tcW w:w="3546" w:type="pct"/>
            <w:gridSpan w:val="2"/>
            <w:tcMar>
              <w:top w:w="60" w:type="dxa"/>
              <w:left w:w="120" w:type="dxa"/>
              <w:bottom w:w="30" w:type="dxa"/>
              <w:right w:w="120" w:type="dxa"/>
            </w:tcMar>
            <w:vAlign w:val="center"/>
          </w:tcPr>
          <w:p w14:paraId="2B3238BC">
            <w:pPr>
              <w:ind w:firstLine="3600" w:firstLineChars="2000"/>
              <w:rPr>
                <w:rFonts w:hint="eastAsia" w:asciiTheme="majorEastAsia" w:hAnsiTheme="majorEastAsia" w:eastAsiaTheme="majorEastAsia" w:cstheme="majorEastAsia"/>
                <w:sz w:val="18"/>
                <w:szCs w:val="18"/>
                <w:lang w:val="en-US"/>
              </w:rPr>
            </w:pPr>
            <w:r>
              <w:rPr>
                <w:rFonts w:hint="eastAsia" w:asciiTheme="majorEastAsia" w:hAnsiTheme="majorEastAsia" w:eastAsiaTheme="majorEastAsia" w:cstheme="majorEastAsia"/>
                <w:sz w:val="18"/>
                <w:szCs w:val="18"/>
                <w:lang w:val="en-US" w:eastAsia="zh-CN"/>
              </w:rPr>
              <w:t>总得</w:t>
            </w:r>
            <w:r>
              <w:rPr>
                <w:rFonts w:hint="eastAsia" w:asciiTheme="majorEastAsia" w:hAnsiTheme="majorEastAsia" w:eastAsiaTheme="majorEastAsia" w:cstheme="majorEastAsia"/>
                <w:sz w:val="18"/>
                <w:szCs w:val="18"/>
                <w:u w:val="none"/>
                <w:lang w:val="en-US" w:eastAsia="zh-CN"/>
              </w:rPr>
              <w:t xml:space="preserve">分：                         </w:t>
            </w:r>
            <w:r>
              <w:rPr>
                <w:rFonts w:hint="eastAsia" w:asciiTheme="majorEastAsia" w:hAnsiTheme="majorEastAsia" w:eastAsiaTheme="majorEastAsia" w:cstheme="majorEastAsia"/>
                <w:sz w:val="18"/>
                <w:szCs w:val="18"/>
                <w:u w:val="thick"/>
                <w:lang w:val="en-US" w:eastAsia="zh-CN"/>
              </w:rPr>
              <w:t xml:space="preserve">       </w:t>
            </w:r>
            <w:r>
              <w:rPr>
                <w:rFonts w:hint="eastAsia" w:asciiTheme="majorEastAsia" w:hAnsiTheme="majorEastAsia" w:eastAsiaTheme="majorEastAsia" w:cstheme="majorEastAsia"/>
                <w:sz w:val="18"/>
                <w:szCs w:val="18"/>
                <w:lang w:val="en-US" w:eastAsia="zh-CN"/>
              </w:rPr>
              <w:t xml:space="preserve">                                       </w:t>
            </w:r>
          </w:p>
        </w:tc>
      </w:tr>
    </w:tbl>
    <w:p w14:paraId="7FD18DDF">
      <w:pPr>
        <w:pStyle w:val="16"/>
        <w:numPr>
          <w:ilvl w:val="0"/>
          <w:numId w:val="0"/>
        </w:numPr>
        <w:ind w:leftChars="0"/>
      </w:pPr>
    </w:p>
    <w:sectPr>
      <w:pgSz w:w="11906" w:h="16838"/>
      <w:pgMar w:top="590" w:right="873" w:bottom="590" w:left="873" w:header="708" w:footer="708"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8C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ompat>
    <w:useFELayout/>
    <w:compatSetting w:name="compatibilityMode" w:uri="http://schemas.microsoft.com/office/word" w:val="15"/>
  </w:compat>
  <w:rsids>
    <w:rsidRoot w:val="00000000"/>
    <w:rsid w:val="12B45635"/>
    <w:rsid w:val="314246DE"/>
    <w:rsid w:val="3B01368A"/>
    <w:rsid w:val="3CF144B5"/>
    <w:rsid w:val="3F2D0B6B"/>
    <w:rsid w:val="4E96264B"/>
    <w:rsid w:val="4EF82E6B"/>
    <w:rsid w:val="60597E54"/>
    <w:rsid w:val="617F50B9"/>
    <w:rsid w:val="7ECD1F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footnote text"/>
    <w:link w:val="15"/>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Title"/>
    <w:qFormat/>
    <w:uiPriority w:val="0"/>
    <w:pPr>
      <w:spacing w:before="480" w:after="480" w:line="288" w:lineRule="auto"/>
      <w:ind w:left="0"/>
    </w:pPr>
    <w:rPr>
      <w:rFonts w:ascii="Arial" w:hAnsi="Arial" w:eastAsia="等线" w:cs="Arial"/>
      <w:b/>
      <w:bCs/>
      <w:sz w:val="52"/>
      <w:szCs w:val="52"/>
    </w:rPr>
  </w:style>
  <w:style w:type="character" w:styleId="12">
    <w:name w:val="Hyperlink"/>
    <w:unhideWhenUsed/>
    <w:qFormat/>
    <w:uiPriority w:val="99"/>
    <w:rPr>
      <w:color w:val="0563C1"/>
      <w:u w:val="single"/>
    </w:rPr>
  </w:style>
  <w:style w:type="character" w:styleId="13">
    <w:name w:val="footnote reference"/>
    <w:semiHidden/>
    <w:unhideWhenUsed/>
    <w:qFormat/>
    <w:uiPriority w:val="99"/>
    <w:rPr>
      <w:vertAlign w:val="superscript"/>
    </w:rPr>
  </w:style>
  <w:style w:type="paragraph" w:styleId="14">
    <w:name w:val="List Paragraph"/>
    <w:qFormat/>
    <w:uiPriority w:val="0"/>
    <w:rPr>
      <w:rFonts w:asciiTheme="minorHAnsi" w:hAnsiTheme="minorHAnsi" w:eastAsiaTheme="minorEastAsia" w:cstheme="minorBidi"/>
      <w:sz w:val="21"/>
      <w:szCs w:val="22"/>
    </w:rPr>
  </w:style>
  <w:style w:type="character" w:customStyle="1" w:styleId="15">
    <w:name w:val="Footnote Text Char"/>
    <w:link w:val="8"/>
    <w:semiHidden/>
    <w:unhideWhenUsed/>
    <w:qFormat/>
    <w:uiPriority w:val="99"/>
    <w:rPr>
      <w:sz w:val="20"/>
      <w:szCs w:val="20"/>
    </w:rPr>
  </w:style>
  <w:style w:type="paragraph" w:customStyle="1" w:styleId="16">
    <w:name w:val="_Style 13"/>
    <w:qFormat/>
    <w:uiPriority w:val="0"/>
    <w:pPr>
      <w:spacing w:before="120" w:after="120" w:line="288" w:lineRule="auto"/>
      <w:ind w:left="0"/>
      <w:jc w:val="left"/>
    </w:pPr>
    <w:rPr>
      <w:rFonts w:ascii="Arial" w:hAnsi="Arial" w:eastAsia="等线" w:cs="Arial"/>
      <w:sz w:val="22"/>
      <w:szCs w:val="22"/>
    </w:rPr>
  </w:style>
  <w:style w:type="paragraph" w:customStyle="1" w:styleId="17">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939</Words>
  <Characters>965</Characters>
  <TotalTime>5</TotalTime>
  <ScaleCrop>false</ScaleCrop>
  <LinksUpToDate>false</LinksUpToDate>
  <CharactersWithSpaces>1036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2026-09-23T04:07:00Z</dcterms:created>
  <dc:creator>Un-named</dc:creator>
  <cp:lastModifiedBy>秦小沫</cp:lastModifiedBy>
  <dcterms:modified xsi:type="dcterms:W3CDTF">2026-09-24T00:57:57Z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eyJoZGlkIjoiNjExYWMxNzhhYTkxZWQzMzVlNzk5MTViMWMwMDdhYzEiLCJ1c2VySWQiOiIxMzUyNzYyMzI0In0=</vt:lpwstr>
  </property>
  <property fmtid="{D5CDD505-2E9C-101B-9397-08002B2CF9AE}" pid="3" name="KSOProductBuildVer">
    <vt:lpwstr>2052-12.1.0.28043</vt:lpwstr>
  </property>
  <property fmtid="{D5CDD505-2E9C-101B-9397-08002B2CF9AE}" pid="4" name="ICV">
    <vt:lpwstr>AD6883239C4747A68578995C66F24EB6_13</vt:lpwstr>
  </property>
</Properties>
</file>