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2056" w:tblpY="64"/>
        <w:tblOverlap w:val="never"/>
        <w:tblW w:w="129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20"/>
        <w:gridCol w:w="1725"/>
        <w:gridCol w:w="1890"/>
        <w:gridCol w:w="1980"/>
        <w:gridCol w:w="1530"/>
        <w:gridCol w:w="1695"/>
        <w:gridCol w:w="1575"/>
      </w:tblGrid>
      <w:tr w14:paraId="16D4A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356C5">
            <w:pPr>
              <w:widowControl/>
              <w:spacing w:after="156" w:afterLines="5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职业技能等级认定过程性评价课程</w:t>
            </w:r>
          </w:p>
        </w:tc>
      </w:tr>
      <w:tr w14:paraId="7E0D6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0620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学院名称</w:t>
            </w:r>
          </w:p>
        </w:tc>
        <w:tc>
          <w:tcPr>
            <w:tcW w:w="13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2062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系部名称</w:t>
            </w:r>
          </w:p>
        </w:tc>
        <w:tc>
          <w:tcPr>
            <w:tcW w:w="1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3C7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职业(工种）</w:t>
            </w:r>
          </w:p>
        </w:tc>
        <w:tc>
          <w:tcPr>
            <w:tcW w:w="18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E72B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对应年级专业</w:t>
            </w:r>
          </w:p>
        </w:tc>
        <w:tc>
          <w:tcPr>
            <w:tcW w:w="35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7C5A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理论考核</w:t>
            </w:r>
          </w:p>
        </w:tc>
        <w:tc>
          <w:tcPr>
            <w:tcW w:w="3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2CA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技能考核</w:t>
            </w:r>
          </w:p>
        </w:tc>
      </w:tr>
      <w:tr w14:paraId="65D58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65492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B4028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D2F3E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E4ABF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A690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理论核心课</w:t>
            </w:r>
          </w:p>
        </w:tc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0A1F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学时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5567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实习实践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6A9B54">
            <w:pPr>
              <w:widowControl/>
              <w:ind w:firstLine="240" w:firstLineChars="10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学时（周数）</w:t>
            </w:r>
          </w:p>
        </w:tc>
      </w:tr>
      <w:tr w14:paraId="2BC49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B2A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经济学院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CA40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国际经济与贸易系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18E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电子商务师</w:t>
            </w:r>
          </w:p>
        </w:tc>
        <w:tc>
          <w:tcPr>
            <w:tcW w:w="18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98B8D5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级国际经济与贸易</w:t>
            </w: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F7AC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跨境电子商务</w:t>
            </w:r>
          </w:p>
        </w:tc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9345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D5A6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毕业实习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5166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8周</w:t>
            </w:r>
          </w:p>
        </w:tc>
      </w:tr>
      <w:tr w14:paraId="4248C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9BA46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FE013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809A7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B326D2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E4FA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国际市场营销</w:t>
            </w:r>
          </w:p>
        </w:tc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65A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71AA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B5BE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0354B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2D36B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98ADA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498DF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D746F1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C977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国际结算</w:t>
            </w:r>
          </w:p>
        </w:tc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E9E0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559A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1846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101BF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C85A6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40A3A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D3B2D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807BCF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1A73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国际贸易实务</w:t>
            </w:r>
          </w:p>
        </w:tc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C5B5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CFC9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7BF9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1A51C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717EA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15101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16C4A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8412F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D859C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F93581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868CA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CDAC2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4753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EF86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BA91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2708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3EC7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29F7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D629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C0F1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B2C0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F425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F33DF"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注：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5B95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43BD0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7620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924C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4A58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F37E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1AA6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5580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83077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/>
                <w:lang w:bidi="ar"/>
              </w:rPr>
              <w:t xml:space="preserve">   </w:t>
            </w:r>
            <w:r>
              <w:rPr>
                <w:rStyle w:val="5"/>
                <w:rFonts w:hint="default"/>
                <w:lang w:bidi="ar"/>
              </w:rPr>
              <w:t>请按照所认定职业的《国家职业技能标准》和对应专业的《人才培养方案》，确定核心课程，参照模板报职业技能等级认定中心。</w:t>
            </w:r>
          </w:p>
        </w:tc>
      </w:tr>
    </w:tbl>
    <w:p w14:paraId="4719338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47E71"/>
    <w:rsid w:val="3F247E71"/>
    <w:rsid w:val="7C89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5">
    <w:name w:val="font3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196</Characters>
  <Lines>0</Lines>
  <Paragraphs>0</Paragraphs>
  <TotalTime>0</TotalTime>
  <ScaleCrop>false</ScaleCrop>
  <LinksUpToDate>false</LinksUpToDate>
  <CharactersWithSpaces>199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2026-05-07T08:27:00Z</dcterms:created>
  <dc:creator>静水流深</dc:creator>
  <cp:lastModifiedBy>静水流深</cp:lastModifiedBy>
  <dcterms:modified xsi:type="dcterms:W3CDTF">2026-05-07T08:33:18Z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FD854BF7563F4CA99D6AC8EC7ABCF6A5_11</vt:lpwstr>
  </property>
  <property fmtid="{D5CDD505-2E9C-101B-9397-08002B2CF9AE}" pid="4" name="KSOTemplateDocerSaveRecord">
    <vt:lpwstr>eyJoZGlkIjoiNWI2OGQ0YWU5NzExOWY3MDg5MWM1YjgwNjllYzE5ZGMiLCJ1c2VySWQiOiIyMDgyMDI1OTgifQ==</vt:lpwstr>
  </property>
</Properties>
</file>