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B7759F">
      <w:pPr>
        <w:widowControl/>
        <w:jc w:val="left"/>
        <w:textAlignment w:val="top"/>
        <w:rPr>
          <w:rFonts w:hint="eastAsia" w:ascii="Nimbus Roman" w:hAnsi="Nimbus Roman" w:eastAsia="黑体" w:cs="Nimbus Roman"/>
          <w:kern w:val="0"/>
          <w:sz w:val="27"/>
          <w:szCs w:val="27"/>
          <w:lang w:eastAsia="zh-CN"/>
        </w:rPr>
      </w:pPr>
      <w:r>
        <w:rPr>
          <w:rFonts w:ascii="Nimbus Roman" w:hAnsi="Nimbus Roman" w:eastAsia="黑体" w:cs="Nimbus Roman"/>
          <w:kern w:val="0"/>
          <w:sz w:val="32"/>
          <w:szCs w:val="32"/>
        </w:rPr>
        <w:t>附件</w:t>
      </w:r>
      <w:r>
        <w:rPr>
          <w:rFonts w:hint="eastAsia" w:ascii="宋体" w:hAnsi="宋体" w:eastAsia="宋体" w:cs="宋体"/>
          <w:kern w:val="0"/>
          <w:sz w:val="32"/>
          <w:szCs w:val="32"/>
          <w:lang w:val="en-US" w:eastAsia="zh-CN"/>
        </w:rPr>
        <w:t>3</w:t>
      </w:r>
      <w:bookmarkStart w:id="0" w:name="_GoBack"/>
      <w:bookmarkEnd w:id="0"/>
    </w:p>
    <w:p w14:paraId="18753966">
      <w:pPr>
        <w:widowControl/>
        <w:jc w:val="left"/>
        <w:textAlignment w:val="top"/>
        <w:rPr>
          <w:rFonts w:ascii="Nimbus Roman" w:hAnsi="Nimbus Roman" w:eastAsia="宋体" w:cs="Nimbus Roman"/>
          <w:kern w:val="0"/>
          <w:sz w:val="27"/>
          <w:szCs w:val="27"/>
        </w:rPr>
      </w:pPr>
      <w:r>
        <w:rPr>
          <w:rFonts w:ascii="Nimbus Roman" w:hAnsi="Nimbus Roman" w:eastAsia="宋体" w:cs="Nimbus Roman"/>
          <w:kern w:val="0"/>
          <w:sz w:val="32"/>
          <w:szCs w:val="32"/>
        </w:rPr>
        <w:t xml:space="preserve"> </w:t>
      </w:r>
    </w:p>
    <w:p w14:paraId="0BFA7686">
      <w:pPr>
        <w:widowControl/>
        <w:spacing w:line="600" w:lineRule="atLeast"/>
        <w:jc w:val="center"/>
        <w:textAlignment w:val="top"/>
        <w:rPr>
          <w:rFonts w:ascii="Nimbus Roman" w:hAnsi="Nimbus Roman" w:eastAsia="宋体" w:cs="Nimbus Roman"/>
          <w:kern w:val="0"/>
          <w:sz w:val="27"/>
          <w:szCs w:val="27"/>
        </w:rPr>
      </w:pPr>
      <w:r>
        <w:rPr>
          <w:rFonts w:ascii="Nimbus Roman" w:hAnsi="Nimbus Roman" w:eastAsia="方正小标宋简体" w:cs="Nimbus Roman"/>
          <w:kern w:val="0"/>
          <w:sz w:val="44"/>
          <w:szCs w:val="44"/>
        </w:rPr>
        <w:t>河南省工程研究中心自评价报告大纲</w:t>
      </w:r>
    </w:p>
    <w:p w14:paraId="203A5D3C">
      <w:pPr>
        <w:widowControl/>
        <w:ind w:firstLine="615"/>
        <w:textAlignment w:val="top"/>
        <w:rPr>
          <w:rFonts w:ascii="Nimbus Roman" w:hAnsi="Nimbus Roman" w:eastAsia="宋体" w:cs="Nimbus Roman"/>
          <w:kern w:val="0"/>
          <w:sz w:val="27"/>
          <w:szCs w:val="27"/>
        </w:rPr>
      </w:pPr>
      <w:r>
        <w:rPr>
          <w:rFonts w:ascii="Nimbus Roman" w:hAnsi="Nimbus Roman" w:eastAsia="仿宋_GB2312" w:cs="Nimbus Roman"/>
          <w:kern w:val="0"/>
          <w:sz w:val="32"/>
          <w:szCs w:val="32"/>
        </w:rPr>
        <w:t xml:space="preserve"> </w:t>
      </w:r>
    </w:p>
    <w:p w14:paraId="48AD8E46">
      <w:pPr>
        <w:widowControl/>
        <w:spacing w:line="615" w:lineRule="atLeast"/>
        <w:ind w:firstLine="645"/>
        <w:textAlignment w:val="top"/>
        <w:rPr>
          <w:rFonts w:ascii="Nimbus Roman" w:hAnsi="Nimbus Roman" w:eastAsia="宋体" w:cs="Nimbus Roman"/>
          <w:kern w:val="0"/>
          <w:sz w:val="27"/>
          <w:szCs w:val="27"/>
        </w:rPr>
      </w:pPr>
      <w:r>
        <w:rPr>
          <w:rFonts w:ascii="Nimbus Roman" w:hAnsi="Nimbus Roman" w:eastAsia="黑体" w:cs="Nimbus Roman"/>
          <w:kern w:val="0"/>
          <w:sz w:val="32"/>
          <w:szCs w:val="32"/>
        </w:rPr>
        <w:t>一、基本情况</w:t>
      </w:r>
    </w:p>
    <w:p w14:paraId="4F0CA19C">
      <w:pPr>
        <w:widowControl/>
        <w:spacing w:line="615" w:lineRule="atLeast"/>
        <w:ind w:firstLine="645"/>
        <w:textAlignment w:val="top"/>
        <w:rPr>
          <w:rFonts w:ascii="Nimbus Roman" w:hAnsi="Nimbus Roman" w:eastAsia="宋体" w:cs="Nimbus Roman"/>
          <w:kern w:val="0"/>
          <w:sz w:val="27"/>
          <w:szCs w:val="27"/>
        </w:rPr>
      </w:pPr>
      <w:r>
        <w:rPr>
          <w:rFonts w:ascii="Nimbus Roman" w:hAnsi="Nimbus Roman" w:eastAsia="仿宋_GB2312" w:cs="Nimbus Roman"/>
          <w:kern w:val="0"/>
          <w:sz w:val="32"/>
          <w:szCs w:val="32"/>
        </w:rPr>
        <w:t>工程中心名称、技术方向、组织机构、运行模式、依托单位情况、人员情况、资产情况、运行情况等。（</w:t>
      </w:r>
      <w:r>
        <w:rPr>
          <w:rFonts w:hint="eastAsia" w:ascii="宋体" w:hAnsi="宋体" w:eastAsia="宋体" w:cs="宋体"/>
          <w:kern w:val="0"/>
          <w:sz w:val="32"/>
          <w:szCs w:val="32"/>
        </w:rPr>
        <w:t>2000</w:t>
      </w:r>
      <w:r>
        <w:rPr>
          <w:rFonts w:ascii="Nimbus Roman" w:hAnsi="Nimbus Roman" w:eastAsia="仿宋_GB2312" w:cs="Nimbus Roman"/>
          <w:kern w:val="0"/>
          <w:sz w:val="32"/>
          <w:szCs w:val="32"/>
        </w:rPr>
        <w:t>字以内）</w:t>
      </w:r>
    </w:p>
    <w:p w14:paraId="49AF8259">
      <w:pPr>
        <w:widowControl/>
        <w:spacing w:line="615" w:lineRule="atLeast"/>
        <w:ind w:firstLine="645"/>
        <w:textAlignment w:val="top"/>
        <w:rPr>
          <w:rFonts w:ascii="Nimbus Roman" w:hAnsi="Nimbus Roman" w:eastAsia="宋体" w:cs="Nimbus Roman"/>
          <w:kern w:val="0"/>
          <w:sz w:val="27"/>
          <w:szCs w:val="27"/>
        </w:rPr>
      </w:pPr>
      <w:r>
        <w:rPr>
          <w:rFonts w:ascii="Nimbus Roman" w:hAnsi="Nimbus Roman" w:eastAsia="黑体" w:cs="Nimbus Roman"/>
          <w:kern w:val="0"/>
          <w:sz w:val="32"/>
          <w:szCs w:val="32"/>
        </w:rPr>
        <w:t>二、主要贡献</w:t>
      </w:r>
    </w:p>
    <w:p w14:paraId="56A910FD">
      <w:pPr>
        <w:widowControl/>
        <w:spacing w:line="615" w:lineRule="atLeast"/>
        <w:ind w:firstLine="645"/>
        <w:textAlignment w:val="top"/>
        <w:rPr>
          <w:rFonts w:ascii="Nimbus Roman" w:hAnsi="Nimbus Roman" w:eastAsia="宋体" w:cs="Nimbus Roman"/>
          <w:kern w:val="0"/>
          <w:sz w:val="27"/>
          <w:szCs w:val="27"/>
        </w:rPr>
      </w:pPr>
      <w:r>
        <w:rPr>
          <w:rFonts w:ascii="Nimbus Roman" w:hAnsi="Nimbus Roman" w:eastAsia="楷体_GB2312" w:cs="Nimbus Roman"/>
          <w:kern w:val="0"/>
          <w:sz w:val="32"/>
          <w:szCs w:val="32"/>
        </w:rPr>
        <w:t>（一）对攻克产业关键核心技术的贡献。</w:t>
      </w:r>
      <w:r>
        <w:rPr>
          <w:rFonts w:ascii="Nimbus Roman" w:hAnsi="Nimbus Roman" w:eastAsia="仿宋_GB2312" w:cs="Nimbus Roman"/>
          <w:kern w:val="0"/>
          <w:sz w:val="32"/>
          <w:szCs w:val="32"/>
        </w:rPr>
        <w:t>评价期内，工程中心围绕制约产业发展的“卡脖子”关键核心技术，通过承担项目或自筹资金开展技术攻关，促进关键核心技术突破取得进展的有关情况。简要列举工程中心取得的重大技术攻关成果，包括获得的省部级及以上技术创新奖项数以及重要社会科技奖项情况。（</w:t>
      </w:r>
      <w:r>
        <w:rPr>
          <w:rFonts w:hint="eastAsia" w:ascii="宋体" w:hAnsi="宋体" w:eastAsia="宋体" w:cs="宋体"/>
          <w:kern w:val="0"/>
          <w:sz w:val="32"/>
          <w:szCs w:val="32"/>
        </w:rPr>
        <w:t>2000</w:t>
      </w:r>
      <w:r>
        <w:rPr>
          <w:rFonts w:ascii="Nimbus Roman" w:hAnsi="Nimbus Roman" w:eastAsia="仿宋_GB2312" w:cs="Nimbus Roman"/>
          <w:kern w:val="0"/>
          <w:sz w:val="32"/>
          <w:szCs w:val="32"/>
        </w:rPr>
        <w:t>字以内，附以必要的图表和数据资料，下同）</w:t>
      </w:r>
    </w:p>
    <w:p w14:paraId="2E14EF45">
      <w:pPr>
        <w:widowControl/>
        <w:spacing w:line="615" w:lineRule="atLeast"/>
        <w:ind w:firstLine="645"/>
        <w:jc w:val="left"/>
        <w:textAlignment w:val="top"/>
        <w:rPr>
          <w:rFonts w:ascii="Nimbus Roman" w:hAnsi="Nimbus Roman" w:eastAsia="宋体" w:cs="Nimbus Roman"/>
          <w:kern w:val="0"/>
          <w:sz w:val="27"/>
          <w:szCs w:val="27"/>
        </w:rPr>
      </w:pPr>
      <w:r>
        <w:rPr>
          <w:rFonts w:ascii="Nimbus Roman" w:hAnsi="Nimbus Roman" w:eastAsia="楷体_GB2312" w:cs="Nimbus Roman"/>
          <w:kern w:val="0"/>
          <w:sz w:val="32"/>
          <w:szCs w:val="32"/>
        </w:rPr>
        <w:t>（二）对支撑河南省战略任务和重点工程实施的贡献。</w:t>
      </w:r>
      <w:r>
        <w:rPr>
          <w:rFonts w:ascii="Nimbus Roman" w:hAnsi="Nimbus Roman" w:eastAsia="仿宋_GB2312" w:cs="Nimbus Roman"/>
          <w:kern w:val="0"/>
          <w:sz w:val="32"/>
          <w:szCs w:val="32"/>
        </w:rPr>
        <w:t>评价期内，工程中心面向河南省战略任务和重点工程建设需求，提供关键零部件研发、试验测试及其技术产品和装备等，支撑相关任务或建设取得进展的有关情况。简要列举工程中心直接或间接参与列入省级以上国民经济和社会发展五年规划或专项规划的任务、重大科技专项以及重大工程情况。</w:t>
      </w:r>
    </w:p>
    <w:p w14:paraId="227F3D97">
      <w:pPr>
        <w:widowControl/>
        <w:spacing w:line="615" w:lineRule="atLeast"/>
        <w:ind w:firstLine="645"/>
        <w:jc w:val="left"/>
        <w:textAlignment w:val="top"/>
      </w:pPr>
      <w:r>
        <w:rPr>
          <w:rFonts w:ascii="Nimbus Roman" w:hAnsi="Nimbus Roman" w:eastAsia="楷体_GB2312" w:cs="Nimbus Roman"/>
          <w:kern w:val="0"/>
          <w:sz w:val="32"/>
          <w:szCs w:val="32"/>
        </w:rPr>
        <w:t>（三）对推动技术成果应用和带动产业发展的贡献。</w:t>
      </w:r>
      <w:r>
        <w:rPr>
          <w:rFonts w:ascii="Nimbus Roman" w:hAnsi="Nimbus Roman" w:eastAsia="仿宋_GB2312" w:cs="Nimbus Roman"/>
          <w:kern w:val="0"/>
          <w:sz w:val="32"/>
          <w:szCs w:val="32"/>
        </w:rPr>
        <w:t xml:space="preserve">评价期内，工程中心围绕提高经济质量效益和核心竞争力，推动技术转移和扩散，持续不断地为规模化生产提供成熟的先进技术、工艺及其技术产业和装备，助力推动高质量发展的有关情况。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763DDFC-F01C-4BB9-B444-BCD55BEA7D8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165A047-7B40-42D4-B47A-BCC5874774A2}"/>
  </w:font>
  <w:font w:name="Nimbus Roman">
    <w:altName w:val="MS Gothic"/>
    <w:panose1 w:val="00000000000000000000"/>
    <w:charset w:val="00"/>
    <w:family w:val="auto"/>
    <w:pitch w:val="default"/>
    <w:sig w:usb0="00000000" w:usb1="00000000" w:usb2="00000000" w:usb3="00000000" w:csb0="6000009F" w:csb1="00000000"/>
    <w:embedRegular r:id="rId3" w:fontKey="{0F0E0CFC-E6CE-4CA5-84BB-7EBA0AC81A1A}"/>
  </w:font>
  <w:font w:name="MS Gothic">
    <w:panose1 w:val="020B0609070205080204"/>
    <w:charset w:val="80"/>
    <w:family w:val="auto"/>
    <w:pitch w:val="default"/>
    <w:sig w:usb0="E00002FF" w:usb1="6AC7FDFB" w:usb2="08000012" w:usb3="00000000" w:csb0="4002009F" w:csb1="DFD70000"/>
  </w:font>
  <w:font w:name="方正小标宋简体">
    <w:panose1 w:val="02000000000000000000"/>
    <w:charset w:val="86"/>
    <w:family w:val="auto"/>
    <w:pitch w:val="default"/>
    <w:sig w:usb0="00000001" w:usb1="08000000" w:usb2="00000000" w:usb3="00000000" w:csb0="00040000" w:csb1="00000000"/>
    <w:embedRegular r:id="rId4" w:fontKey="{385AB81B-5CD1-4420-9858-989E7592FFA1}"/>
  </w:font>
  <w:font w:name="仿宋_GB2312">
    <w:altName w:val="仿宋"/>
    <w:panose1 w:val="00000000000000000000"/>
    <w:charset w:val="86"/>
    <w:family w:val="roman"/>
    <w:pitch w:val="default"/>
    <w:sig w:usb0="00000000" w:usb1="00000000" w:usb2="00000010" w:usb3="00000000" w:csb0="00040000" w:csb1="00000000"/>
    <w:embedRegular r:id="rId5" w:fontKey="{0D87744C-66B8-45CB-8080-5B2FEDDAE187}"/>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roman"/>
    <w:pitch w:val="default"/>
    <w:sig w:usb0="00000000" w:usb1="00000000" w:usb2="00000010" w:usb3="00000000" w:csb0="00040000" w:csb1="00000000"/>
    <w:embedRegular r:id="rId6" w:fontKey="{EFE36EB1-1435-4E2E-A763-DAA28EE959D3}"/>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0OTFjNmMyNTNkMThkYWY5MTUxNDkwMTYyNzg4MjIifQ=="/>
  </w:docVars>
  <w:rsids>
    <w:rsidRoot w:val="50FA4B97"/>
    <w:rsid w:val="003A2090"/>
    <w:rsid w:val="004332D1"/>
    <w:rsid w:val="004610FD"/>
    <w:rsid w:val="1C33157E"/>
    <w:rsid w:val="3ED57147"/>
    <w:rsid w:val="50FA4B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0"/>
    <w:rPr>
      <w:kern w:val="2"/>
      <w:sz w:val="18"/>
      <w:szCs w:val="18"/>
    </w:rPr>
  </w:style>
  <w:style w:type="character" w:customStyle="1" w:styleId="7">
    <w:name w:val="页脚 字符"/>
    <w:basedOn w:val="5"/>
    <w:link w:val="2"/>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502</Words>
  <Characters>508</Characters>
  <Lines>3</Lines>
  <Paragraphs>1</Paragraphs>
  <TotalTime>0</TotalTime>
  <ScaleCrop>false</ScaleCrop>
  <LinksUpToDate>false</LinksUpToDate>
  <CharactersWithSpaces>511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2024-03-26T00:52:00Z</dcterms:created>
  <dc:creator>Cynthia</dc:creator>
  <cp:lastModifiedBy>空白格</cp:lastModifiedBy>
  <dcterms:modified xsi:type="dcterms:W3CDTF">2026-05-30T09:05:37Z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6F29562420804CE68765D7704E9592CD_11</vt:lpwstr>
  </property>
  <property fmtid="{D5CDD505-2E9C-101B-9397-08002B2CF9AE}" pid="4" name="KSOTemplateDocerSaveRecord">
    <vt:lpwstr>eyJoZGlkIjoiN2ZiYzQ5MTgxMzJiMWE0MTRkOWMwOWQwMzA1NjU2YzUiLCJ1c2VySWQiOiI3NDY0MTU0MzQifQ==</vt:lpwstr>
  </property>
</Properties>
</file>