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84215A">
      <w:pPr>
        <w:rPr>
          <w:rFonts w:hint="eastAsia" w:ascii="Times New Roman" w:hAnsi="Times New Roman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</w:t>
      </w:r>
    </w:p>
    <w:p w14:paraId="4C0750C7">
      <w:pPr>
        <w:keepNext/>
        <w:keepLines/>
        <w:widowControl w:val="0"/>
        <w:spacing w:after="0" w:line="560" w:lineRule="exact"/>
        <w:jc w:val="center"/>
        <w:outlineLvl w:val="0"/>
        <w:rPr>
          <w:rFonts w:ascii="Times New Roman" w:hAnsi="Times New Roman" w:eastAsia="方正小标宋简体" w:cs="方正小标宋简体"/>
          <w:color w:val="000000"/>
          <w:kern w:val="2"/>
          <w:sz w:val="44"/>
          <w:szCs w:val="44"/>
          <w:lang w:val="en-US" w:eastAsia="zh-CN" w:bidi="zh-TW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2"/>
          <w:sz w:val="44"/>
          <w:szCs w:val="44"/>
          <w:lang w:val="en-US" w:eastAsia="zh-CN" w:bidi="zh-TW"/>
        </w:rPr>
        <w:t>参赛作品主题</w:t>
      </w:r>
    </w:p>
    <w:p w14:paraId="0218EADF">
      <w:pPr>
        <w:widowControl w:val="0"/>
        <w:spacing w:line="564" w:lineRule="exact"/>
        <w:ind w:firstLine="640" w:firstLineChars="200"/>
        <w:jc w:val="both"/>
        <w:rPr>
          <w:rFonts w:ascii="楷体" w:hAnsi="楷体" w:eastAsia="楷体" w:cs="楷体"/>
          <w:color w:val="000000"/>
          <w:kern w:val="2"/>
          <w:sz w:val="32"/>
          <w:szCs w:val="32"/>
          <w:lang w:val="zh-TW" w:eastAsia="zh-CN" w:bidi="zh-TW"/>
        </w:rPr>
      </w:pPr>
    </w:p>
    <w:p w14:paraId="18553FC9">
      <w:pPr>
        <w:widowControl w:val="0"/>
        <w:numPr>
          <w:ilvl w:val="0"/>
          <w:numId w:val="1"/>
        </w:numPr>
        <w:spacing w:line="564" w:lineRule="exact"/>
        <w:ind w:firstLine="640" w:firstLineChars="200"/>
        <w:jc w:val="both"/>
        <w:rPr>
          <w:rFonts w:ascii="黑体" w:hAnsi="黑体" w:eastAsia="黑体" w:cs="黑体"/>
          <w:color w:val="000000"/>
          <w:kern w:val="2"/>
          <w:sz w:val="32"/>
          <w:szCs w:val="32"/>
          <w:lang w:val="zh-TW" w:eastAsia="zh-CN" w:bidi="zh-TW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zh-TW" w:eastAsia="zh-TW" w:bidi="zh-TW"/>
        </w:rPr>
        <w:t>爱国卫生与健康生活方式专场</w:t>
      </w:r>
    </w:p>
    <w:p w14:paraId="0DD3204E">
      <w:pPr>
        <w:widowControl w:val="0"/>
        <w:numPr>
          <w:ilvl w:val="0"/>
          <w:numId w:val="2"/>
        </w:numPr>
        <w:spacing w:line="564" w:lineRule="exact"/>
        <w:ind w:left="0" w:firstLine="42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lang w:val="zh-TW" w:eastAsia="zh-TW" w:bidi="zh-TW"/>
        </w:rPr>
        <w:t>爱国卫生与健康生活方式相关主题。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  <w:t>如适量运动、戒烟限酒、健康睡眠、合理用药、科学就医、安全与急救等文明健康绿色环保生活方式，无偿献血等相关内容。</w:t>
      </w:r>
    </w:p>
    <w:p w14:paraId="23C5CC67">
      <w:pPr>
        <w:widowControl w:val="0"/>
        <w:numPr>
          <w:ilvl w:val="0"/>
          <w:numId w:val="2"/>
        </w:numPr>
        <w:spacing w:line="564" w:lineRule="exact"/>
        <w:ind w:left="0" w:firstLine="42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lang w:val="en-US" w:eastAsia="zh-CN" w:bidi="zh-TW"/>
        </w:rPr>
        <w:t>眼健康与耳健康相关主题。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  <w:t>如近视定义、危险因素、临床表现、培养健康用眼行为等。</w:t>
      </w:r>
    </w:p>
    <w:p w14:paraId="57AA8E10">
      <w:pPr>
        <w:widowControl w:val="0"/>
        <w:numPr>
          <w:ilvl w:val="0"/>
          <w:numId w:val="2"/>
        </w:numPr>
        <w:spacing w:line="564" w:lineRule="exact"/>
        <w:ind w:left="0" w:firstLine="42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lang w:val="en-US" w:eastAsia="zh-CN" w:bidi="zh-TW"/>
        </w:rPr>
        <w:t>心理健康相关主题。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  <w:t>如增强心理健康意识、使用科学方法缓解压力、预防心理行为问题和精神障碍发生等。</w:t>
      </w:r>
    </w:p>
    <w:p w14:paraId="2A9AA246">
      <w:pPr>
        <w:widowControl w:val="0"/>
        <w:numPr>
          <w:ilvl w:val="0"/>
          <w:numId w:val="2"/>
        </w:numPr>
        <w:spacing w:line="560" w:lineRule="exact"/>
        <w:ind w:left="0" w:firstLine="42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lang w:val="en-US" w:eastAsia="zh-CN" w:bidi="zh-TW"/>
        </w:rPr>
        <w:t>健康体重管理相关主题。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  <w:t>如健康体重理念倡导，吃动平衡、科学减重知识等。</w:t>
      </w:r>
    </w:p>
    <w:p w14:paraId="44C0DB42">
      <w:pPr>
        <w:widowControl w:val="0"/>
        <w:numPr>
          <w:ilvl w:val="0"/>
          <w:numId w:val="1"/>
        </w:numPr>
        <w:tabs>
          <w:tab w:val="left" w:pos="1254"/>
        </w:tabs>
        <w:spacing w:line="560" w:lineRule="exact"/>
        <w:ind w:firstLine="640" w:firstLineChars="200"/>
        <w:jc w:val="both"/>
        <w:rPr>
          <w:rFonts w:ascii="黑体" w:hAnsi="黑体" w:eastAsia="黑体" w:cs="黑体"/>
          <w:b/>
          <w:bCs/>
          <w:kern w:val="2"/>
          <w:sz w:val="32"/>
          <w:szCs w:val="32"/>
          <w:lang w:val="en-US" w:eastAsia="zh-CN" w:bidi="zh-TW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zh-TW" w:eastAsia="zh-TW" w:bidi="zh-TW"/>
        </w:rPr>
        <w:t>妇幼青少年健康专场</w:t>
      </w:r>
    </w:p>
    <w:p w14:paraId="4BDF8F48">
      <w:pPr>
        <w:widowControl w:val="0"/>
        <w:numPr>
          <w:ilvl w:val="0"/>
          <w:numId w:val="2"/>
        </w:numPr>
        <w:spacing w:line="560" w:lineRule="exact"/>
        <w:ind w:left="0" w:firstLine="42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lang w:val="en-US" w:eastAsia="zh-CN" w:bidi="zh-TW"/>
        </w:rPr>
        <w:t>妇幼健康相关主题。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  <w:t>如生殖保健与科学避孕、婚前孕前保健、孕产期保健、高危孕产妇管理、孕产期安全用药、产后保健、母乳喂养与科学育儿、更年期保健等。</w:t>
      </w:r>
    </w:p>
    <w:p w14:paraId="29CE71A1">
      <w:pPr>
        <w:widowControl w:val="0"/>
        <w:numPr>
          <w:ilvl w:val="0"/>
          <w:numId w:val="2"/>
        </w:numPr>
        <w:spacing w:line="560" w:lineRule="exact"/>
        <w:ind w:left="0" w:firstLine="42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lang w:val="en-US" w:eastAsia="zh-CN" w:bidi="zh-TW"/>
        </w:rPr>
        <w:t>儿童青少年健康相关主题。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  <w:t>如儿童健康“五小”（包括“小胖墩”“小眼镜”“小星星”“小骨干”“小蛀牙”），以及儿童保健、儿童性发育与青春期保健、青少年健康管理、预防过敏性疾病、防范意外伤害等。</w:t>
      </w:r>
    </w:p>
    <w:p w14:paraId="0E811A8F">
      <w:pPr>
        <w:widowControl w:val="0"/>
        <w:numPr>
          <w:ilvl w:val="0"/>
          <w:numId w:val="1"/>
        </w:numPr>
        <w:spacing w:line="560" w:lineRule="exact"/>
        <w:ind w:firstLine="640" w:firstLineChars="200"/>
        <w:jc w:val="both"/>
        <w:rPr>
          <w:rFonts w:ascii="黑体" w:hAnsi="黑体" w:eastAsia="黑体" w:cs="黑体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zh-TW"/>
        </w:rPr>
        <w:t>中医药时令专场</w:t>
      </w:r>
    </w:p>
    <w:p w14:paraId="00CE05E5">
      <w:pPr>
        <w:widowControl w:val="0"/>
        <w:numPr>
          <w:ilvl w:val="0"/>
          <w:numId w:val="2"/>
        </w:numPr>
        <w:spacing w:line="560" w:lineRule="exact"/>
        <w:ind w:left="0" w:firstLine="42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lang w:val="en-US" w:eastAsia="zh-CN" w:bidi="zh-TW"/>
        </w:rPr>
        <w:t>中医药科普相关主题。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  <w:t>如中医药基本知识、中医养生保健的理念和方法、常见疾病的中医药预防和保健、重点人群的中医药养生保健、中医药常识等。</w:t>
      </w:r>
    </w:p>
    <w:p w14:paraId="78499DF1">
      <w:pPr>
        <w:widowControl w:val="0"/>
        <w:numPr>
          <w:ilvl w:val="0"/>
          <w:numId w:val="2"/>
        </w:numPr>
        <w:spacing w:line="560" w:lineRule="exact"/>
        <w:ind w:left="0" w:firstLine="420"/>
        <w:jc w:val="both"/>
        <w:rPr>
          <w:rFonts w:ascii="仿宋" w:hAnsi="仿宋" w:eastAsia="仿宋" w:cs="仿宋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lang w:val="en-US" w:eastAsia="zh-CN" w:bidi="zh-TW"/>
        </w:rPr>
        <w:t>时令节气与健康相关主题。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  <w:t>如时令节气变化特点和对人的起居生活的影响，气候变化对健康的真实威胁，气候敏感疾病种类，应对极端天气气候事件的自救互救措施等。</w:t>
      </w:r>
    </w:p>
    <w:p w14:paraId="1C7A0DE3">
      <w:pPr>
        <w:widowControl w:val="0"/>
        <w:numPr>
          <w:ilvl w:val="0"/>
          <w:numId w:val="1"/>
        </w:numPr>
        <w:spacing w:line="560" w:lineRule="exact"/>
        <w:ind w:firstLine="640" w:firstLineChars="200"/>
        <w:jc w:val="both"/>
        <w:rPr>
          <w:rFonts w:ascii="黑体" w:hAnsi="黑体" w:eastAsia="黑体" w:cs="黑体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zh-TW"/>
        </w:rPr>
        <w:t>公共卫生专场</w:t>
      </w:r>
    </w:p>
    <w:p w14:paraId="691474D8">
      <w:pPr>
        <w:widowControl w:val="0"/>
        <w:numPr>
          <w:ilvl w:val="0"/>
          <w:numId w:val="2"/>
        </w:numPr>
        <w:spacing w:line="560" w:lineRule="exact"/>
        <w:ind w:left="0" w:firstLine="42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lang w:val="en-US" w:eastAsia="zh-CN" w:bidi="zh-TW"/>
        </w:rPr>
        <w:t>营养卫生、环境卫生、职业卫生、放射卫生、学校卫生及其他公共卫生相关主题。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  <w:t>如食品营养与合理膳食、病媒生物防治、饮用水安全、职业病防治、户外防晒等。</w:t>
      </w:r>
    </w:p>
    <w:p w14:paraId="3558C264">
      <w:pPr>
        <w:widowControl w:val="0"/>
        <w:numPr>
          <w:ilvl w:val="0"/>
          <w:numId w:val="1"/>
        </w:numPr>
        <w:spacing w:line="560" w:lineRule="exact"/>
        <w:ind w:firstLine="640" w:firstLineChars="200"/>
        <w:jc w:val="both"/>
        <w:rPr>
          <w:rFonts w:ascii="黑体" w:hAnsi="黑体" w:eastAsia="黑体" w:cs="黑体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zh-TW"/>
        </w:rPr>
        <w:t>慢性病专场</w:t>
      </w:r>
    </w:p>
    <w:p w14:paraId="485A80F7">
      <w:pPr>
        <w:widowControl w:val="0"/>
        <w:numPr>
          <w:ilvl w:val="0"/>
          <w:numId w:val="2"/>
        </w:numPr>
        <w:spacing w:line="560" w:lineRule="exact"/>
        <w:ind w:left="0" w:firstLine="42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lang w:val="en-US" w:eastAsia="zh-CN" w:bidi="zh-TW"/>
        </w:rPr>
        <w:t>心血管疾病防治相关主题。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  <w:t>如心血管病高危患者筛查、危险因素干预、健康生活方式防治心血管病的方法和推广、心血管急危重症家庭急救常识、先心病的早期识别和家庭健康管理、心脏术后康复等。</w:t>
      </w:r>
    </w:p>
    <w:p w14:paraId="5C2BAA9E">
      <w:pPr>
        <w:widowControl w:val="0"/>
        <w:numPr>
          <w:ilvl w:val="0"/>
          <w:numId w:val="2"/>
        </w:numPr>
        <w:spacing w:line="560" w:lineRule="exact"/>
        <w:ind w:left="0" w:firstLine="420"/>
        <w:jc w:val="both"/>
        <w:rPr>
          <w:rFonts w:ascii="仿宋" w:hAnsi="仿宋" w:eastAsia="仿宋" w:cs="仿宋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lang w:val="en-US" w:eastAsia="zh-CN" w:bidi="zh-TW"/>
        </w:rPr>
        <w:t>癌症防治相关主题。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zh-TW"/>
        </w:rPr>
        <w:t>如癌症病因预防、防癌筛查、康复等。</w:t>
      </w:r>
    </w:p>
    <w:p w14:paraId="3D231ED8">
      <w:pPr>
        <w:widowControl w:val="0"/>
        <w:numPr>
          <w:ilvl w:val="0"/>
          <w:numId w:val="2"/>
        </w:numPr>
        <w:spacing w:line="560" w:lineRule="exact"/>
        <w:ind w:left="0" w:firstLine="42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lang w:val="en-US" w:eastAsia="zh-CN" w:bidi="zh-TW"/>
        </w:rPr>
        <w:t>呼吸系统疾病防治相关主题。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  <w:t>如哮喘、慢性阻塞性肺疾病、肺炎、流感、肺栓塞等疾病防治知识。</w:t>
      </w:r>
    </w:p>
    <w:p w14:paraId="6E56E0B9">
      <w:pPr>
        <w:widowControl w:val="0"/>
        <w:numPr>
          <w:ilvl w:val="0"/>
          <w:numId w:val="2"/>
        </w:numPr>
        <w:spacing w:line="560" w:lineRule="exact"/>
        <w:ind w:left="0" w:firstLine="420"/>
        <w:jc w:val="left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lang w:val="en-US" w:eastAsia="zh-CN" w:bidi="zh-TW"/>
        </w:rPr>
        <w:t>神经系统疾病防治相关主题。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  <w:t>如脑梗死、脑出血、阿尔茨海默病、癫痫等疾病防治知识。</w:t>
      </w:r>
    </w:p>
    <w:p w14:paraId="5E8A2657">
      <w:pPr>
        <w:widowControl w:val="0"/>
        <w:numPr>
          <w:ilvl w:val="0"/>
          <w:numId w:val="2"/>
        </w:numPr>
        <w:spacing w:line="560" w:lineRule="exact"/>
        <w:ind w:left="0" w:firstLine="420"/>
        <w:jc w:val="left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lang w:val="en-US" w:eastAsia="zh-CN" w:bidi="zh-TW"/>
        </w:rPr>
        <w:t>老年人健康相关主题。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  <w:t>如老年“六健”（包括“健智”“健耳”“健齿”“健心”“健食”“健体”），以及积极老龄观和健康老龄化理念、医养结合、养生保健、体卫融合、老年常见病和慢性病防治、老年人跌倒等伤害预防、康复护理、生命教育等。</w:t>
      </w:r>
    </w:p>
    <w:p w14:paraId="5115A455">
      <w:pPr>
        <w:widowControl w:val="0"/>
        <w:numPr>
          <w:ilvl w:val="0"/>
          <w:numId w:val="1"/>
        </w:numPr>
        <w:spacing w:line="560" w:lineRule="exact"/>
        <w:ind w:firstLine="640" w:firstLineChars="200"/>
        <w:jc w:val="both"/>
        <w:rPr>
          <w:rFonts w:ascii="黑体" w:hAnsi="黑体" w:eastAsia="黑体" w:cs="黑体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zh-TW"/>
        </w:rPr>
        <w:t>传染病地方病防控专场</w:t>
      </w:r>
    </w:p>
    <w:p w14:paraId="72D25876">
      <w:pPr>
        <w:widowControl w:val="0"/>
        <w:numPr>
          <w:ilvl w:val="0"/>
          <w:numId w:val="2"/>
        </w:numPr>
        <w:spacing w:line="560" w:lineRule="exact"/>
        <w:ind w:left="0" w:firstLine="42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</w:pPr>
      <w:r>
        <w:rPr>
          <w:rFonts w:hint="eastAsia" w:ascii="楷体_GB2312" w:hAnsi="楷体_GB2312" w:eastAsia="楷体_GB2312" w:cs="楷体_GB2312"/>
          <w:color w:val="000000"/>
          <w:kern w:val="2"/>
          <w:sz w:val="32"/>
          <w:szCs w:val="32"/>
          <w:lang w:val="en-US" w:eastAsia="zh-CN" w:bidi="zh-TW"/>
        </w:rPr>
        <w:t>传染病及地方病防控相关主题。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zh-TW"/>
        </w:rPr>
        <w:t>如各类传染病的基本知识、传播途径、预防和控制措施、预防接种等，具体内容可参照《中华人民共和国传染病防治法》中对传染病的规定；碘缺乏病等重点地方病防治知识等。</w:t>
      </w:r>
    </w:p>
    <w:p w14:paraId="11893AF2">
      <w:pPr>
        <w:widowControl w:val="0"/>
        <w:numPr>
          <w:ilvl w:val="0"/>
          <w:numId w:val="0"/>
        </w:numPr>
        <w:spacing w:line="560" w:lineRule="exact"/>
        <w:ind w:left="420" w:leftChars="0" w:firstLine="400"/>
        <w:jc w:val="left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zh-TW"/>
        </w:rPr>
      </w:pPr>
    </w:p>
    <w:p w14:paraId="48D85524">
      <w:pPr>
        <w:widowControl w:val="0"/>
        <w:numPr>
          <w:ilvl w:val="0"/>
          <w:numId w:val="0"/>
        </w:numPr>
        <w:spacing w:line="560" w:lineRule="exact"/>
        <w:ind w:left="420" w:leftChars="0" w:firstLine="400"/>
        <w:jc w:val="left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zh-TW"/>
        </w:rPr>
      </w:pPr>
    </w:p>
    <w:p w14:paraId="43F5E040">
      <w:pPr>
        <w:widowControl w:val="0"/>
        <w:numPr>
          <w:ilvl w:val="0"/>
          <w:numId w:val="0"/>
        </w:numPr>
        <w:spacing w:line="560" w:lineRule="exact"/>
        <w:ind w:left="420" w:leftChars="0" w:firstLine="400"/>
        <w:jc w:val="left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zh-TW"/>
        </w:rPr>
      </w:pPr>
    </w:p>
    <w:p w14:paraId="408A7E39">
      <w:pPr>
        <w:widowControl w:val="0"/>
        <w:numPr>
          <w:ilvl w:val="0"/>
          <w:numId w:val="0"/>
        </w:numPr>
        <w:spacing w:line="560" w:lineRule="exact"/>
        <w:ind w:left="420" w:leftChars="0" w:firstLine="400"/>
        <w:jc w:val="left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zh-TW"/>
        </w:rPr>
      </w:pPr>
    </w:p>
    <w:p w14:paraId="3F2B2638">
      <w:pPr>
        <w:widowControl w:val="0"/>
        <w:numPr>
          <w:ilvl w:val="0"/>
          <w:numId w:val="0"/>
        </w:numPr>
        <w:spacing w:line="560" w:lineRule="exact"/>
        <w:ind w:left="420" w:leftChars="0" w:firstLine="400"/>
        <w:jc w:val="left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zh-TW"/>
        </w:rPr>
      </w:pPr>
    </w:p>
    <w:p w14:paraId="27C57294">
      <w:pPr>
        <w:widowControl w:val="0"/>
        <w:numPr>
          <w:ilvl w:val="0"/>
          <w:numId w:val="0"/>
        </w:numPr>
        <w:spacing w:line="560" w:lineRule="exact"/>
        <w:ind w:left="420" w:leftChars="0" w:firstLine="400"/>
        <w:jc w:val="left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zh-TW"/>
        </w:rPr>
      </w:pPr>
    </w:p>
    <w:p w14:paraId="1145F24D">
      <w:pPr>
        <w:widowControl w:val="0"/>
        <w:numPr>
          <w:ilvl w:val="0"/>
          <w:numId w:val="0"/>
        </w:numPr>
        <w:spacing w:line="560" w:lineRule="exact"/>
        <w:ind w:left="420" w:leftChars="0" w:firstLine="400"/>
        <w:jc w:val="left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zh-TW"/>
        </w:rPr>
      </w:pPr>
    </w:p>
    <w:p w14:paraId="2BB1CB12">
      <w:pPr>
        <w:widowControl w:val="0"/>
        <w:numPr>
          <w:ilvl w:val="0"/>
          <w:numId w:val="0"/>
        </w:numPr>
        <w:spacing w:line="560" w:lineRule="exact"/>
        <w:ind w:left="420" w:leftChars="0" w:firstLine="400"/>
        <w:jc w:val="left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zh-TW"/>
        </w:rPr>
      </w:pPr>
    </w:p>
    <w:p w14:paraId="01E2AA48">
      <w:pPr>
        <w:widowControl w:val="0"/>
        <w:numPr>
          <w:ilvl w:val="0"/>
          <w:numId w:val="0"/>
        </w:numPr>
        <w:spacing w:line="560" w:lineRule="exact"/>
        <w:ind w:left="420" w:leftChars="0" w:firstLine="400"/>
        <w:jc w:val="left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zh-TW"/>
        </w:rPr>
      </w:pPr>
    </w:p>
    <w:p w14:paraId="01B9FBCE">
      <w:pPr>
        <w:widowControl w:val="0"/>
        <w:numPr>
          <w:ilvl w:val="0"/>
          <w:numId w:val="0"/>
        </w:numPr>
        <w:spacing w:line="560" w:lineRule="exact"/>
        <w:jc w:val="left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zh-TW"/>
        </w:rPr>
      </w:pPr>
    </w:p>
    <w:p w14:paraId="4171D103">
      <w:pPr>
        <w:widowControl w:val="0"/>
        <w:numPr>
          <w:ilvl w:val="0"/>
          <w:numId w:val="0"/>
        </w:numPr>
        <w:spacing w:line="560" w:lineRule="exact"/>
        <w:ind w:firstLine="400"/>
        <w:jc w:val="left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zh-TW"/>
        </w:rPr>
      </w:pPr>
    </w:p>
    <w:p w14:paraId="23030AE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C9C2D4"/>
    <w:multiLevelType w:val="singleLevel"/>
    <w:tmpl w:val="C7C9C2D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楷体" w:hAnsi="楷体" w:eastAsia="楷体" w:cs="楷体"/>
        <w:b w:val="0"/>
        <w:bCs w:val="0"/>
        <w:sz w:val="32"/>
        <w:szCs w:val="32"/>
      </w:rPr>
    </w:lvl>
  </w:abstractNum>
  <w:abstractNum w:abstractNumId="1">
    <w:nsid w:val="7C575FF5"/>
    <w:multiLevelType w:val="singleLevel"/>
    <w:tmpl w:val="7C575FF5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717FA5"/>
    <w:rsid w:val="1D717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ind w:firstLine="640" w:firstLineChars="200"/>
      <w:jc w:val="both"/>
      <w:textAlignment w:val="auto"/>
      <w:outlineLvl w:val="9"/>
    </w:pPr>
    <w:rPr>
      <w:rFonts w:ascii="仿宋" w:hAnsi="Calibri" w:eastAsia="仿宋" w:cs="Times New Roman"/>
      <w:spacing w:val="0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金山软件</Company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2026-03-30T00:10:00Z</dcterms:created>
  <dc:creator>﹏、通。</dc:creator>
  <cp:lastModifiedBy>﹏、通。</cp:lastModifiedBy>
  <dcterms:modified xsi:type="dcterms:W3CDTF">2026-03-30T00:11:21Z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31536D0F78F5485290E495A13D576A51_11</vt:lpwstr>
  </property>
  <property fmtid="{D5CDD505-2E9C-101B-9397-08002B2CF9AE}" pid="4" name="KSOTemplateDocerSaveRecord">
    <vt:lpwstr>eyJoZGlkIjoiNzk4ZDgyYzhiMTkwZjE4MDYyNjEzYWMyZDAwZjZjZjIiLCJ1c2VySWQiOiI1MTgzMjQ4MDAifQ==</vt:lpwstr>
  </property>
</Properties>
</file>